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66E" w:rsidRDefault="00440030" w:rsidP="00A1466E">
      <w:pPr>
        <w:widowControl w:val="0"/>
        <w:spacing w:line="360" w:lineRule="auto"/>
        <w:ind w:right="-164"/>
        <w:jc w:val="both"/>
        <w:rPr>
          <w:rFonts w:ascii="Palatino Linotype" w:hAnsi="Palatino Linotype" w:cs="Arial"/>
          <w:b/>
        </w:rPr>
      </w:pPr>
      <w:r>
        <w:rPr>
          <w:rFonts w:ascii="Palatino Linotype" w:hAnsi="Palatino Linotype" w:cs="Arial"/>
          <w:b/>
        </w:rPr>
        <w:t>VOTO</w:t>
      </w:r>
      <w:r w:rsidR="00A1466E">
        <w:rPr>
          <w:rFonts w:ascii="Palatino Linotype" w:hAnsi="Palatino Linotype" w:cs="Arial"/>
          <w:b/>
        </w:rPr>
        <w:t xml:space="preserve"> </w:t>
      </w:r>
      <w:r w:rsidR="00A1466E" w:rsidRPr="0007653D">
        <w:rPr>
          <w:rFonts w:ascii="Palatino Linotype" w:hAnsi="Palatino Linotype" w:cs="Arial"/>
          <w:b/>
        </w:rPr>
        <w:t>PARTICULAR</w:t>
      </w:r>
      <w:r w:rsidR="00A1466E">
        <w:rPr>
          <w:rFonts w:ascii="Palatino Linotype" w:hAnsi="Palatino Linotype" w:cs="Arial"/>
          <w:b/>
        </w:rPr>
        <w:t xml:space="preserve"> </w:t>
      </w:r>
      <w:r w:rsidR="00A1466E" w:rsidRPr="0007653D">
        <w:rPr>
          <w:rFonts w:ascii="Palatino Linotype" w:hAnsi="Palatino Linotype" w:cs="Arial"/>
          <w:b/>
        </w:rPr>
        <w:t xml:space="preserve">QUE FORMULA </w:t>
      </w:r>
      <w:r w:rsidR="00A1466E">
        <w:rPr>
          <w:rFonts w:ascii="Palatino Linotype" w:hAnsi="Palatino Linotype" w:cs="Arial"/>
          <w:b/>
        </w:rPr>
        <w:t xml:space="preserve">LA COMISIONADA EVA ABAID YAPUR, </w:t>
      </w:r>
      <w:r w:rsidR="00A1466E" w:rsidRPr="0007653D">
        <w:rPr>
          <w:rFonts w:ascii="Palatino Linotype" w:hAnsi="Palatino Linotype" w:cs="Arial"/>
          <w:b/>
        </w:rPr>
        <w:t xml:space="preserve">EN RELACIÓN CON LA RESOLUCIÓN DICTADA POR EL PLENO DEL INSTITUTO DE TRANSPARENCIA, ACCESO A LA INFORMACIÓN PÚBLICA Y PROTECCIÓN DE DATOS PERSONALES DEL ESTADO DE MÉXICO Y MUNICIPIOS, EN LA </w:t>
      </w:r>
      <w:r w:rsidR="00A1466E">
        <w:rPr>
          <w:rFonts w:ascii="Palatino Linotype" w:hAnsi="Palatino Linotype" w:cs="Arial"/>
          <w:b/>
        </w:rPr>
        <w:t>TRIGÉSIMA SESIÓN ORDINARIA DE VEINTIDÓS DE AGOSTO DE DOS MIL DIECIOCHO</w:t>
      </w:r>
      <w:r w:rsidR="00A1466E" w:rsidRPr="0007653D">
        <w:rPr>
          <w:rFonts w:ascii="Palatino Linotype" w:hAnsi="Palatino Linotype" w:cs="Arial"/>
          <w:b/>
        </w:rPr>
        <w:t xml:space="preserve">, EN </w:t>
      </w:r>
      <w:r w:rsidR="00A1466E">
        <w:rPr>
          <w:rFonts w:ascii="Palatino Linotype" w:hAnsi="Palatino Linotype" w:cs="Arial"/>
          <w:b/>
        </w:rPr>
        <w:t xml:space="preserve">EL </w:t>
      </w:r>
      <w:r w:rsidR="00A1466E" w:rsidRPr="0007653D">
        <w:rPr>
          <w:rFonts w:ascii="Palatino Linotype" w:hAnsi="Palatino Linotype" w:cs="Arial"/>
          <w:b/>
        </w:rPr>
        <w:t>RECURSO DE REVISIÓN</w:t>
      </w:r>
      <w:r w:rsidR="00A1466E">
        <w:rPr>
          <w:rFonts w:ascii="Palatino Linotype" w:hAnsi="Palatino Linotype" w:cs="Arial"/>
          <w:b/>
        </w:rPr>
        <w:t xml:space="preserve"> </w:t>
      </w:r>
      <w:r w:rsidR="00A1466E" w:rsidRPr="0007653D">
        <w:rPr>
          <w:rFonts w:ascii="Palatino Linotype" w:hAnsi="Palatino Linotype" w:cs="Arial"/>
          <w:b/>
        </w:rPr>
        <w:t>0</w:t>
      </w:r>
      <w:r w:rsidR="00A1466E">
        <w:rPr>
          <w:rFonts w:ascii="Palatino Linotype" w:hAnsi="Palatino Linotype" w:cs="Arial"/>
          <w:b/>
        </w:rPr>
        <w:t>2300</w:t>
      </w:r>
      <w:r w:rsidR="00A1466E" w:rsidRPr="0007653D">
        <w:rPr>
          <w:rFonts w:ascii="Palatino Linotype" w:hAnsi="Palatino Linotype" w:cs="Arial"/>
          <w:b/>
        </w:rPr>
        <w:t>/INFOEM/IP/RR/201</w:t>
      </w:r>
      <w:r w:rsidR="00A1466E">
        <w:rPr>
          <w:rFonts w:ascii="Palatino Linotype" w:hAnsi="Palatino Linotype" w:cs="Arial"/>
          <w:b/>
        </w:rPr>
        <w:t>8.</w:t>
      </w:r>
    </w:p>
    <w:p w:rsidR="00A1466E" w:rsidRPr="00E42755" w:rsidRDefault="00A1466E" w:rsidP="00A1466E">
      <w:pPr>
        <w:widowControl w:val="0"/>
        <w:spacing w:line="360" w:lineRule="auto"/>
        <w:ind w:right="-164"/>
        <w:jc w:val="both"/>
        <w:rPr>
          <w:rFonts w:ascii="Palatino Linotype" w:eastAsia="Calibri" w:hAnsi="Palatino Linotype" w:cs="Arial"/>
          <w:b/>
          <w:color w:val="000000"/>
        </w:rPr>
      </w:pPr>
    </w:p>
    <w:p w:rsidR="00A1466E" w:rsidRDefault="00A1466E" w:rsidP="00A1466E">
      <w:pPr>
        <w:spacing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X y XI</w:t>
      </w:r>
      <w:r w:rsidRPr="00E42755">
        <w:rPr>
          <w:rFonts w:ascii="Palatino Linotype" w:hAnsi="Palatino Linotype" w:cs="Arial"/>
        </w:rPr>
        <w:t xml:space="preserve"> del Reglamento Interior del Instituto de Transparencia, Acceso a la Información Pública y Protección de Datos Personales del Estado de México y Municipios, l</w:t>
      </w:r>
      <w:r>
        <w:rPr>
          <w:rFonts w:ascii="Palatino Linotype" w:hAnsi="Palatino Linotype" w:cs="Arial"/>
        </w:rPr>
        <w:t>a</w:t>
      </w:r>
      <w:r w:rsidRPr="00E42755">
        <w:rPr>
          <w:rFonts w:ascii="Palatino Linotype" w:hAnsi="Palatino Linotype" w:cs="Arial"/>
        </w:rPr>
        <w:t xml:space="preserve">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00440030">
        <w:rPr>
          <w:rFonts w:ascii="Palatino Linotype" w:hAnsi="Palatino Linotype" w:cs="Arial"/>
          <w:b/>
        </w:rPr>
        <w:t>VOTO</w:t>
      </w:r>
      <w:r w:rsidRPr="00E42755">
        <w:rPr>
          <w:rFonts w:ascii="Palatino Linotype" w:hAnsi="Palatino Linotype" w:cs="Arial"/>
          <w:b/>
        </w:rPr>
        <w:t xml:space="preserve"> PARTICULAR</w:t>
      </w:r>
      <w:r>
        <w:rPr>
          <w:rFonts w:ascii="Palatino Linotype" w:hAnsi="Palatino Linotype" w:cs="Arial"/>
          <w:b/>
        </w:rPr>
        <w:t xml:space="preserve"> </w:t>
      </w:r>
      <w:r>
        <w:rPr>
          <w:rFonts w:ascii="Palatino Linotype" w:hAnsi="Palatino Linotype" w:cs="Arial"/>
        </w:rPr>
        <w:t>r</w:t>
      </w:r>
      <w:r w:rsidRPr="00E42755">
        <w:rPr>
          <w:rFonts w:ascii="Palatino Linotype" w:hAnsi="Palatino Linotype" w:cs="Arial"/>
        </w:rPr>
        <w:t>espect</w:t>
      </w:r>
      <w:r>
        <w:rPr>
          <w:rFonts w:ascii="Palatino Linotype" w:hAnsi="Palatino Linotype" w:cs="Arial"/>
        </w:rPr>
        <w:t xml:space="preserve">o de la resolución dictada en el </w:t>
      </w:r>
      <w:r w:rsidRPr="00E42755">
        <w:rPr>
          <w:rFonts w:ascii="Palatino Linotype" w:hAnsi="Palatino Linotype" w:cs="Arial"/>
        </w:rPr>
        <w:t xml:space="preserve">recurso de revisión </w:t>
      </w:r>
      <w:r w:rsidRPr="0007653D">
        <w:rPr>
          <w:rFonts w:ascii="Palatino Linotype" w:hAnsi="Palatino Linotype" w:cs="Arial"/>
          <w:b/>
        </w:rPr>
        <w:t>0</w:t>
      </w:r>
      <w:r>
        <w:rPr>
          <w:rFonts w:ascii="Palatino Linotype" w:hAnsi="Palatino Linotype" w:cs="Arial"/>
          <w:b/>
        </w:rPr>
        <w:t>2300/</w:t>
      </w:r>
      <w:r w:rsidRPr="0007653D">
        <w:rPr>
          <w:rFonts w:ascii="Palatino Linotype" w:hAnsi="Palatino Linotype" w:cs="Arial"/>
          <w:b/>
        </w:rPr>
        <w:t>INFOEM/IP/RR/201</w:t>
      </w:r>
      <w:r>
        <w:rPr>
          <w:rFonts w:ascii="Palatino Linotype" w:hAnsi="Palatino Linotype" w:cs="Arial"/>
          <w:b/>
        </w:rPr>
        <w:t>8</w:t>
      </w:r>
      <w:r>
        <w:rPr>
          <w:rFonts w:ascii="Palatino Linotype" w:hAnsi="Palatino Linotype" w:cs="Arial"/>
        </w:rPr>
        <w:t xml:space="preserve"> </w:t>
      </w:r>
      <w:r w:rsidRPr="00E42755">
        <w:rPr>
          <w:rFonts w:ascii="Palatino Linotype" w:hAnsi="Palatino Linotype" w:cs="Arial"/>
        </w:rPr>
        <w:t xml:space="preserve">pronunciada por el Pleno de este Instituto ante el proyecto presentado por </w:t>
      </w:r>
      <w:r>
        <w:rPr>
          <w:rFonts w:ascii="Palatino Linotype" w:hAnsi="Palatino Linotype" w:cs="Arial"/>
        </w:rPr>
        <w:t xml:space="preserve">la Comisionada Presidenta </w:t>
      </w:r>
      <w:r>
        <w:rPr>
          <w:rFonts w:ascii="Palatino Linotype" w:hAnsi="Palatino Linotype" w:cs="Arial"/>
          <w:b/>
        </w:rPr>
        <w:t>ZULEMA MARTÍNEZ SÁNCHEZ</w:t>
      </w:r>
      <w:r w:rsidRPr="0007653D">
        <w:rPr>
          <w:rFonts w:ascii="Palatino Linotype" w:hAnsi="Palatino Linotype" w:cs="Arial"/>
        </w:rPr>
        <w:t xml:space="preserve">, </w:t>
      </w:r>
      <w:r>
        <w:rPr>
          <w:rFonts w:ascii="Palatino Linotype" w:hAnsi="Palatino Linotype" w:cs="Arial"/>
        </w:rPr>
        <w:t>que es del tenor siguiente.</w:t>
      </w:r>
    </w:p>
    <w:p w:rsidR="00A1466E" w:rsidRPr="00E42755" w:rsidRDefault="00A1466E" w:rsidP="00A1466E">
      <w:pPr>
        <w:spacing w:line="360" w:lineRule="auto"/>
        <w:jc w:val="both"/>
        <w:rPr>
          <w:rFonts w:ascii="Palatino Linotype" w:hAnsi="Palatino Linotype" w:cs="Arial"/>
        </w:rPr>
      </w:pPr>
    </w:p>
    <w:p w:rsidR="00803EA1" w:rsidRDefault="00A1466E" w:rsidP="00803EA1">
      <w:pPr>
        <w:spacing w:line="360" w:lineRule="auto"/>
        <w:jc w:val="both"/>
        <w:rPr>
          <w:rFonts w:ascii="Palatino Linotype" w:hAnsi="Palatino Linotype"/>
        </w:rPr>
      </w:pPr>
      <w:r>
        <w:rPr>
          <w:rFonts w:ascii="Palatino Linotype" w:hAnsi="Palatino Linotype"/>
        </w:rPr>
        <w:t>C</w:t>
      </w:r>
      <w:r w:rsidRPr="00D93A88">
        <w:rPr>
          <w:rFonts w:ascii="Palatino Linotype" w:hAnsi="Palatino Linotype"/>
        </w:rPr>
        <w:t>omo quedó debidamente asentado en la resolución materia de</w:t>
      </w:r>
      <w:r w:rsidR="00440030">
        <w:rPr>
          <w:rFonts w:ascii="Palatino Linotype" w:hAnsi="Palatino Linotype"/>
        </w:rPr>
        <w:t>l presente voto</w:t>
      </w:r>
      <w:r>
        <w:rPr>
          <w:rFonts w:ascii="Palatino Linotype" w:hAnsi="Palatino Linotype"/>
        </w:rPr>
        <w:t xml:space="preserve">, el </w:t>
      </w:r>
      <w:r w:rsidRPr="00D93A88">
        <w:rPr>
          <w:rFonts w:ascii="Palatino Linotype" w:hAnsi="Palatino Linotype"/>
        </w:rPr>
        <w:t xml:space="preserve">particular </w:t>
      </w:r>
      <w:r>
        <w:rPr>
          <w:rFonts w:ascii="Palatino Linotype" w:hAnsi="Palatino Linotype"/>
        </w:rPr>
        <w:t>requirió de</w:t>
      </w:r>
      <w:r w:rsidR="00E8520A">
        <w:rPr>
          <w:rFonts w:ascii="Palatino Linotype" w:hAnsi="Palatino Linotype"/>
        </w:rPr>
        <w:t xml:space="preserve">l Ayuntamiento de </w:t>
      </w:r>
      <w:r w:rsidR="00803EA1">
        <w:rPr>
          <w:rFonts w:ascii="Palatino Linotype" w:hAnsi="Palatino Linotype"/>
        </w:rPr>
        <w:t>Atizapán</w:t>
      </w:r>
      <w:r>
        <w:rPr>
          <w:rFonts w:ascii="Palatino Linotype" w:hAnsi="Palatino Linotype"/>
        </w:rPr>
        <w:t xml:space="preserve">, en lo sucesivo </w:t>
      </w:r>
      <w:r w:rsidRPr="00BC4467">
        <w:rPr>
          <w:rFonts w:ascii="Palatino Linotype" w:hAnsi="Palatino Linotype"/>
          <w:b/>
        </w:rPr>
        <w:t>EL</w:t>
      </w:r>
      <w:r>
        <w:rPr>
          <w:rFonts w:ascii="Palatino Linotype" w:hAnsi="Palatino Linotype"/>
        </w:rPr>
        <w:t xml:space="preserve"> </w:t>
      </w:r>
      <w:r w:rsidRPr="00BC4467">
        <w:rPr>
          <w:rFonts w:ascii="Palatino Linotype" w:hAnsi="Palatino Linotype"/>
          <w:b/>
        </w:rPr>
        <w:t>SUJETO</w:t>
      </w:r>
      <w:r w:rsidRPr="008C0700">
        <w:rPr>
          <w:rFonts w:ascii="Palatino Linotype" w:hAnsi="Palatino Linotype"/>
          <w:b/>
        </w:rPr>
        <w:t xml:space="preserve"> OBLIGADO</w:t>
      </w:r>
      <w:r w:rsidRPr="00074546">
        <w:rPr>
          <w:rFonts w:ascii="Palatino Linotype" w:hAnsi="Palatino Linotype"/>
        </w:rPr>
        <w:t xml:space="preserve">, </w:t>
      </w:r>
      <w:r w:rsidR="00803EA1">
        <w:rPr>
          <w:rFonts w:ascii="Palatino Linotype" w:hAnsi="Palatino Linotype"/>
        </w:rPr>
        <w:t>copia debidamente firmada y sellada de la nómina de todo el personal del mes de febrero de los años 2016, 2017 y 2018.</w:t>
      </w:r>
    </w:p>
    <w:p w:rsidR="00803EA1" w:rsidRPr="00803EA1" w:rsidRDefault="00803EA1" w:rsidP="00803EA1">
      <w:pPr>
        <w:spacing w:line="360" w:lineRule="auto"/>
        <w:jc w:val="both"/>
        <w:rPr>
          <w:rFonts w:ascii="Palatino Linotype" w:hAnsi="Palatino Linotype"/>
        </w:rPr>
      </w:pPr>
    </w:p>
    <w:p w:rsidR="00A1466E" w:rsidRDefault="00A1466E" w:rsidP="00A1466E">
      <w:pPr>
        <w:spacing w:line="360" w:lineRule="auto"/>
        <w:jc w:val="both"/>
        <w:rPr>
          <w:rFonts w:ascii="Palatino Linotype" w:hAnsi="Palatino Linotype" w:cs="Arial"/>
        </w:rPr>
      </w:pPr>
      <w:r w:rsidRPr="002A50EF">
        <w:rPr>
          <w:rFonts w:ascii="Palatino Linotype" w:hAnsi="Palatino Linotype" w:cs="Arial"/>
        </w:rPr>
        <w:t>En</w:t>
      </w:r>
      <w:r>
        <w:rPr>
          <w:rFonts w:ascii="Palatino Linotype" w:hAnsi="Palatino Linotype" w:cs="Arial"/>
        </w:rPr>
        <w:t xml:space="preserve"> ese orden de ideas, de las constancias que obran en el expediente electrónico del Sistema de Acceso a la Información Mexiquense (SAIMEX), se advierte que </w:t>
      </w:r>
      <w:r w:rsidRPr="002A50EF">
        <w:rPr>
          <w:rFonts w:ascii="Palatino Linotype" w:hAnsi="Palatino Linotype" w:cs="Arial"/>
          <w:b/>
        </w:rPr>
        <w:t xml:space="preserve">EL </w:t>
      </w:r>
      <w:r w:rsidRPr="002A50EF">
        <w:rPr>
          <w:rFonts w:ascii="Palatino Linotype" w:hAnsi="Palatino Linotype" w:cs="Arial"/>
          <w:b/>
        </w:rPr>
        <w:lastRenderedPageBreak/>
        <w:t>SUJETO OBLIGADO</w:t>
      </w:r>
      <w:r w:rsidRPr="002A50EF">
        <w:rPr>
          <w:rFonts w:ascii="Palatino Linotype" w:hAnsi="Palatino Linotype" w:cs="Arial"/>
        </w:rPr>
        <w:t xml:space="preserve"> </w:t>
      </w:r>
      <w:r w:rsidR="00E05D93">
        <w:rPr>
          <w:rFonts w:ascii="Palatino Linotype" w:hAnsi="Palatino Linotype" w:cs="Arial"/>
        </w:rPr>
        <w:t xml:space="preserve">fue omiso en dar respuesta a la solicitud de información que le fue planteada, motivo por el cual, </w:t>
      </w:r>
      <w:r>
        <w:rPr>
          <w:rFonts w:ascii="Palatino Linotype" w:hAnsi="Palatino Linotype" w:cs="Arial"/>
        </w:rPr>
        <w:t xml:space="preserve">el </w:t>
      </w:r>
      <w:r w:rsidR="00E05D93">
        <w:rPr>
          <w:rFonts w:ascii="Palatino Linotype" w:hAnsi="Palatino Linotype" w:cs="Arial"/>
        </w:rPr>
        <w:t xml:space="preserve">hoy </w:t>
      </w:r>
      <w:r w:rsidR="00E05D93">
        <w:rPr>
          <w:rFonts w:ascii="Palatino Linotype" w:hAnsi="Palatino Linotype" w:cs="Arial"/>
          <w:b/>
        </w:rPr>
        <w:t xml:space="preserve">RECURRENTE </w:t>
      </w:r>
      <w:r>
        <w:rPr>
          <w:rFonts w:ascii="Palatino Linotype" w:hAnsi="Palatino Linotype" w:cs="Arial"/>
        </w:rPr>
        <w:t>interpuso el recurso de revisión materia de</w:t>
      </w:r>
      <w:r w:rsidR="00105260">
        <w:rPr>
          <w:rFonts w:ascii="Palatino Linotype" w:hAnsi="Palatino Linotype" w:cs="Arial"/>
        </w:rPr>
        <w:t>l presente voto</w:t>
      </w:r>
      <w:r>
        <w:rPr>
          <w:rFonts w:ascii="Palatino Linotype" w:hAnsi="Palatino Linotype" w:cs="Arial"/>
        </w:rPr>
        <w:t>.</w:t>
      </w:r>
    </w:p>
    <w:p w:rsidR="00A1466E" w:rsidRPr="00D93F3E" w:rsidRDefault="00A1466E" w:rsidP="00A1466E">
      <w:pPr>
        <w:spacing w:line="360" w:lineRule="auto"/>
        <w:jc w:val="both"/>
        <w:rPr>
          <w:rFonts w:ascii="Palatino Linotype" w:hAnsi="Palatino Linotype" w:cs="Arial"/>
        </w:rPr>
      </w:pPr>
    </w:p>
    <w:p w:rsidR="002D6DA9" w:rsidRDefault="00A1466E" w:rsidP="00A1466E">
      <w:pPr>
        <w:spacing w:line="360" w:lineRule="auto"/>
        <w:jc w:val="both"/>
        <w:rPr>
          <w:rFonts w:ascii="Palatino Linotype" w:hAnsi="Palatino Linotype" w:cs="Arial"/>
        </w:rPr>
      </w:pPr>
      <w:r>
        <w:rPr>
          <w:rFonts w:ascii="Palatino Linotype" w:hAnsi="Palatino Linotype" w:cs="Arial"/>
        </w:rPr>
        <w:t xml:space="preserve">Así, la Ponencia Resolutora determinó </w:t>
      </w:r>
      <w:r w:rsidR="00E05D93">
        <w:rPr>
          <w:rFonts w:ascii="Palatino Linotype" w:hAnsi="Palatino Linotype" w:cs="Arial"/>
          <w:b/>
        </w:rPr>
        <w:t>ORDENA</w:t>
      </w:r>
      <w:r>
        <w:rPr>
          <w:rFonts w:ascii="Palatino Linotype" w:hAnsi="Palatino Linotype" w:cs="Arial"/>
          <w:b/>
        </w:rPr>
        <w:t>R</w:t>
      </w:r>
      <w:r w:rsidR="00E05D93">
        <w:rPr>
          <w:rFonts w:ascii="Palatino Linotype" w:hAnsi="Palatino Linotype" w:cs="Arial"/>
        </w:rPr>
        <w:t xml:space="preserve"> al </w:t>
      </w:r>
      <w:r w:rsidR="00E05D93">
        <w:rPr>
          <w:rFonts w:ascii="Palatino Linotype" w:hAnsi="Palatino Linotype" w:cs="Arial"/>
          <w:b/>
        </w:rPr>
        <w:t xml:space="preserve">SUJETO OBLIGADO </w:t>
      </w:r>
      <w:r w:rsidR="00E05D93">
        <w:rPr>
          <w:rFonts w:ascii="Palatino Linotype" w:hAnsi="Palatino Linotype" w:cs="Arial"/>
        </w:rPr>
        <w:t>atienda la</w:t>
      </w:r>
      <w:r w:rsidR="00105260">
        <w:rPr>
          <w:rFonts w:ascii="Palatino Linotype" w:hAnsi="Palatino Linotype" w:cs="Arial"/>
        </w:rPr>
        <w:t xml:space="preserve"> solicitud de información y hacer</w:t>
      </w:r>
      <w:r w:rsidR="00E05D93">
        <w:rPr>
          <w:rFonts w:ascii="Palatino Linotype" w:hAnsi="Palatino Linotype" w:cs="Arial"/>
        </w:rPr>
        <w:t xml:space="preserve"> entrega </w:t>
      </w:r>
      <w:r w:rsidR="002D6DA9">
        <w:rPr>
          <w:rFonts w:ascii="Palatino Linotype" w:hAnsi="Palatino Linotype" w:cs="Arial"/>
        </w:rPr>
        <w:t>vía SAIMEX en versión pública de los documentos en donde conste lo siguiente:</w:t>
      </w:r>
    </w:p>
    <w:p w:rsidR="00E05D93" w:rsidRPr="00E923E3" w:rsidRDefault="00E05D93" w:rsidP="00E05D93">
      <w:pPr>
        <w:pStyle w:val="Sinespaciado"/>
        <w:spacing w:line="360" w:lineRule="auto"/>
        <w:jc w:val="both"/>
        <w:rPr>
          <w:rFonts w:ascii="Palatino Linotype" w:hAnsi="Palatino Linotype"/>
          <w:lang w:val="es-ES_tradnl"/>
        </w:rPr>
      </w:pPr>
    </w:p>
    <w:p w:rsidR="00E05D93" w:rsidRPr="00215219" w:rsidRDefault="002D6DA9" w:rsidP="002D6DA9">
      <w:pPr>
        <w:pStyle w:val="Sinespaciado"/>
        <w:numPr>
          <w:ilvl w:val="0"/>
          <w:numId w:val="4"/>
        </w:numPr>
        <w:ind w:left="1134" w:right="899"/>
        <w:jc w:val="both"/>
        <w:rPr>
          <w:rFonts w:ascii="Palatino Linotype" w:hAnsi="Palatino Linotype"/>
          <w:i/>
          <w:lang w:val="es-ES_tradnl"/>
        </w:rPr>
      </w:pPr>
      <w:r>
        <w:rPr>
          <w:rFonts w:ascii="Palatino Linotype" w:hAnsi="Palatino Linotype"/>
          <w:i/>
          <w:lang w:val="es-ES_tradnl"/>
        </w:rPr>
        <w:t>“</w:t>
      </w:r>
      <w:r w:rsidR="00E05D93" w:rsidRPr="00215219">
        <w:rPr>
          <w:rFonts w:ascii="Palatino Linotype" w:hAnsi="Palatino Linotype"/>
          <w:i/>
          <w:lang w:val="es-ES_tradnl"/>
        </w:rPr>
        <w:t>Nómina general del total de los servidores públicos adscritos al Sujeto Obligado, correspondiente al mes de febrero de los años dos mil dieciséis, dos mil diecisiete y dos mil dieciocho.</w:t>
      </w:r>
    </w:p>
    <w:p w:rsidR="00E05D93" w:rsidRDefault="00E05D93" w:rsidP="00E05D93">
      <w:pPr>
        <w:pStyle w:val="Sinespaciado"/>
        <w:spacing w:line="360" w:lineRule="auto"/>
        <w:jc w:val="both"/>
        <w:rPr>
          <w:rFonts w:ascii="Palatino Linotype" w:hAnsi="Palatino Linotype" w:cs="Arial"/>
        </w:rPr>
      </w:pPr>
    </w:p>
    <w:p w:rsidR="00E05D93" w:rsidRPr="002D6DA9" w:rsidRDefault="00E05D93" w:rsidP="002D6DA9">
      <w:pPr>
        <w:pStyle w:val="Sinespaciado"/>
        <w:ind w:left="851" w:right="899"/>
        <w:jc w:val="both"/>
        <w:rPr>
          <w:rFonts w:ascii="Palatino Linotype" w:hAnsi="Palatino Linotype" w:cs="Arial"/>
          <w:i/>
          <w:sz w:val="22"/>
          <w:szCs w:val="22"/>
        </w:rPr>
      </w:pPr>
      <w:r w:rsidRPr="002D6DA9">
        <w:rPr>
          <w:rFonts w:ascii="Palatino Linotype" w:hAnsi="Palatino Linotype" w:cs="Arial"/>
          <w:i/>
          <w:sz w:val="22"/>
          <w:szCs w:val="22"/>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E05D93" w:rsidRPr="002D6DA9" w:rsidRDefault="00E05D93" w:rsidP="002D6DA9">
      <w:pPr>
        <w:pStyle w:val="Sinespaciado"/>
        <w:ind w:left="851" w:right="899"/>
        <w:jc w:val="both"/>
        <w:rPr>
          <w:rFonts w:ascii="Palatino Linotype" w:hAnsi="Palatino Linotype" w:cs="Arial"/>
          <w:i/>
          <w:sz w:val="22"/>
          <w:szCs w:val="22"/>
        </w:rPr>
      </w:pPr>
    </w:p>
    <w:p w:rsidR="00E05D93" w:rsidRPr="002D6DA9" w:rsidRDefault="00E05D93" w:rsidP="002D6DA9">
      <w:pPr>
        <w:pStyle w:val="Sinespaciado"/>
        <w:ind w:left="851" w:right="899"/>
        <w:jc w:val="both"/>
        <w:rPr>
          <w:rFonts w:ascii="Palatino Linotype" w:eastAsia="Calibri" w:hAnsi="Palatino Linotype" w:cs="Arial"/>
          <w:i/>
          <w:sz w:val="22"/>
          <w:szCs w:val="22"/>
        </w:rPr>
      </w:pPr>
      <w:r w:rsidRPr="002D6DA9">
        <w:rPr>
          <w:rFonts w:ascii="Palatino Linotype" w:eastAsia="Calibri" w:hAnsi="Palatino Linotype" w:cs="Arial"/>
          <w:b/>
          <w:i/>
          <w:sz w:val="22"/>
          <w:szCs w:val="22"/>
        </w:rPr>
        <w:t>En el supuesto de que el Recurrente requiera la entrega de la información en copias simples a su costa</w:t>
      </w:r>
      <w:r w:rsidRPr="002D6DA9">
        <w:rPr>
          <w:rFonts w:ascii="Palatino Linotype" w:eastAsia="Calibri" w:hAnsi="Palatino Linotype" w:cs="Arial"/>
          <w:i/>
          <w:sz w:val="22"/>
          <w:szCs w:val="22"/>
        </w:rPr>
        <w:t xml:space="preserve">, a efecto de que el Sujeto Obligado dé pleno cumplimiento respecto de la entrega de la información en la modalidad referida, es necesario que informe al particular sobre </w:t>
      </w:r>
      <w:r w:rsidRPr="002D6DA9">
        <w:rPr>
          <w:rFonts w:ascii="Palatino Linotype" w:hAnsi="Palatino Linotype" w:cs="Arial"/>
          <w:i/>
          <w:color w:val="000000" w:themeColor="text1"/>
          <w:sz w:val="22"/>
          <w:szCs w:val="22"/>
          <w:lang w:eastAsia="es-MX"/>
        </w:rPr>
        <w:t xml:space="preserve">el día, hora, lugar y costo para la reproducción de la información, para que posteriormente se </w:t>
      </w:r>
      <w:r w:rsidRPr="002D6DA9">
        <w:rPr>
          <w:rFonts w:ascii="Palatino Linotype" w:eastAsia="Calibri" w:hAnsi="Palatino Linotype" w:cs="Arial"/>
          <w:i/>
          <w:sz w:val="22"/>
          <w:szCs w:val="22"/>
        </w:rPr>
        <w:t>proceda a la entrega de la misma.</w:t>
      </w:r>
      <w:r w:rsidR="002D6DA9">
        <w:rPr>
          <w:rFonts w:ascii="Palatino Linotype" w:eastAsia="Calibri" w:hAnsi="Palatino Linotype" w:cs="Arial"/>
          <w:i/>
          <w:sz w:val="22"/>
          <w:szCs w:val="22"/>
        </w:rPr>
        <w:t>”</w:t>
      </w:r>
    </w:p>
    <w:p w:rsidR="00A1466E" w:rsidRPr="006902D5" w:rsidRDefault="00A1466E" w:rsidP="00A1466E">
      <w:pPr>
        <w:spacing w:line="360" w:lineRule="auto"/>
        <w:jc w:val="both"/>
        <w:rPr>
          <w:rFonts w:ascii="Palatino Linotype" w:hAnsi="Palatino Linotype" w:cs="Arial"/>
          <w:sz w:val="2"/>
          <w:szCs w:val="2"/>
        </w:rPr>
      </w:pPr>
    </w:p>
    <w:p w:rsidR="002D6DA9" w:rsidRDefault="002D6DA9" w:rsidP="00A1466E">
      <w:pPr>
        <w:spacing w:line="360" w:lineRule="auto"/>
        <w:jc w:val="both"/>
        <w:rPr>
          <w:rFonts w:ascii="Palatino Linotype" w:hAnsi="Palatino Linotype" w:cs="Arial"/>
        </w:rPr>
      </w:pPr>
    </w:p>
    <w:p w:rsidR="00567E5D" w:rsidRDefault="00A1466E" w:rsidP="00A1466E">
      <w:pPr>
        <w:spacing w:line="360" w:lineRule="auto"/>
        <w:jc w:val="both"/>
        <w:rPr>
          <w:rFonts w:ascii="Palatino Linotype" w:hAnsi="Palatino Linotype"/>
        </w:rPr>
      </w:pPr>
      <w:r>
        <w:rPr>
          <w:rFonts w:ascii="Palatino Linotype" w:hAnsi="Palatino Linotype" w:cs="Arial"/>
        </w:rPr>
        <w:t>En ese tenor, la</w:t>
      </w:r>
      <w:r w:rsidR="002D6DA9">
        <w:rPr>
          <w:rFonts w:ascii="Palatino Linotype" w:hAnsi="Palatino Linotype" w:cs="Arial"/>
        </w:rPr>
        <w:t xml:space="preserve"> suscrita coincide </w:t>
      </w:r>
      <w:r>
        <w:rPr>
          <w:rFonts w:ascii="Palatino Linotype" w:hAnsi="Palatino Linotype" w:cs="Arial"/>
        </w:rPr>
        <w:t xml:space="preserve">en términos generales con el </w:t>
      </w:r>
      <w:r w:rsidR="00FF6F15">
        <w:rPr>
          <w:rFonts w:ascii="Palatino Linotype" w:hAnsi="Palatino Linotype" w:cs="Arial"/>
        </w:rPr>
        <w:t xml:space="preserve">sentido del </w:t>
      </w:r>
      <w:r>
        <w:rPr>
          <w:rFonts w:ascii="Palatino Linotype" w:hAnsi="Palatino Linotype" w:cs="Arial"/>
        </w:rPr>
        <w:t>p</w:t>
      </w:r>
      <w:r w:rsidR="002D6DA9">
        <w:rPr>
          <w:rFonts w:ascii="Palatino Linotype" w:hAnsi="Palatino Linotype" w:cs="Arial"/>
        </w:rPr>
        <w:t>royecto de resolución presentado por la Comisionada</w:t>
      </w:r>
      <w:r>
        <w:rPr>
          <w:rFonts w:ascii="Palatino Linotype" w:hAnsi="Palatino Linotype" w:cs="Arial"/>
        </w:rPr>
        <w:t xml:space="preserve"> Ponente;</w:t>
      </w:r>
      <w:r w:rsidRPr="00BF5A25">
        <w:rPr>
          <w:rFonts w:ascii="Palatino Linotype" w:hAnsi="Palatino Linotype" w:cs="Arial"/>
        </w:rPr>
        <w:t xml:space="preserve"> </w:t>
      </w:r>
      <w:r w:rsidR="00FF6F15">
        <w:rPr>
          <w:rFonts w:ascii="Palatino Linotype" w:hAnsi="Palatino Linotype"/>
        </w:rPr>
        <w:t xml:space="preserve">empero, estimo </w:t>
      </w:r>
      <w:r w:rsidRPr="00D93A88">
        <w:rPr>
          <w:rFonts w:ascii="Palatino Linotype" w:hAnsi="Palatino Linotype"/>
        </w:rPr>
        <w:t xml:space="preserve">necesario </w:t>
      </w:r>
      <w:r w:rsidR="00567E5D">
        <w:rPr>
          <w:rFonts w:ascii="Palatino Linotype" w:hAnsi="Palatino Linotype"/>
        </w:rPr>
        <w:t xml:space="preserve">precisar </w:t>
      </w:r>
      <w:r w:rsidR="00567E5D">
        <w:rPr>
          <w:rFonts w:ascii="Palatino Linotype" w:hAnsi="Palatino Linotype"/>
        </w:rPr>
        <w:lastRenderedPageBreak/>
        <w:t>algunas consideraciones de hecho y de derecho respecto a la modalidad de entrega señala</w:t>
      </w:r>
      <w:r w:rsidR="00105260">
        <w:rPr>
          <w:rFonts w:ascii="Palatino Linotype" w:hAnsi="Palatino Linotype"/>
        </w:rPr>
        <w:t>da</w:t>
      </w:r>
      <w:r w:rsidR="00567E5D">
        <w:rPr>
          <w:rFonts w:ascii="Palatino Linotype" w:hAnsi="Palatino Linotype"/>
        </w:rPr>
        <w:t xml:space="preserve"> en el último párrafo del Resolutivo SEGUNDO.</w:t>
      </w:r>
    </w:p>
    <w:p w:rsidR="00567E5D" w:rsidRDefault="00567E5D" w:rsidP="00A1466E">
      <w:pPr>
        <w:spacing w:line="360" w:lineRule="auto"/>
        <w:jc w:val="both"/>
        <w:rPr>
          <w:rFonts w:ascii="Palatino Linotype" w:hAnsi="Palatino Linotype" w:cs="Arial"/>
        </w:rPr>
      </w:pPr>
    </w:p>
    <w:p w:rsidR="00A1466E" w:rsidRDefault="00A1466E" w:rsidP="00A1466E">
      <w:pPr>
        <w:spacing w:line="360" w:lineRule="auto"/>
        <w:jc w:val="both"/>
        <w:rPr>
          <w:rFonts w:ascii="Palatino Linotype" w:hAnsi="Palatino Linotype" w:cs="Arial"/>
        </w:rPr>
      </w:pPr>
      <w:r>
        <w:rPr>
          <w:rFonts w:ascii="Palatino Linotype" w:hAnsi="Palatino Linotype" w:cs="Arial"/>
        </w:rPr>
        <w:t>Dicho lo anterior, es menester establecer en primer término que el particular al momento de presentar su solicitud de información señaló como modalida</w:t>
      </w:r>
      <w:r w:rsidR="00567E5D">
        <w:rPr>
          <w:rFonts w:ascii="Palatino Linotype" w:hAnsi="Palatino Linotype" w:cs="Arial"/>
        </w:rPr>
        <w:t>d de entrega “Copias Simples (Con Costo)</w:t>
      </w:r>
      <w:r>
        <w:rPr>
          <w:rFonts w:ascii="Palatino Linotype" w:hAnsi="Palatino Linotype" w:cs="Arial"/>
        </w:rPr>
        <w:t>”, tal como se aprecia a continuación:</w:t>
      </w:r>
    </w:p>
    <w:p w:rsidR="00567E5D" w:rsidRDefault="00567E5D" w:rsidP="00567E5D">
      <w:pPr>
        <w:spacing w:line="360" w:lineRule="auto"/>
        <w:jc w:val="center"/>
        <w:rPr>
          <w:rFonts w:ascii="Palatino Linotype" w:hAnsi="Palatino Linotype" w:cs="Arial"/>
        </w:rPr>
      </w:pPr>
      <w:r>
        <w:rPr>
          <w:noProof/>
          <w:lang w:eastAsia="es-MX"/>
        </w:rPr>
        <mc:AlternateContent>
          <mc:Choice Requires="wps">
            <w:drawing>
              <wp:anchor distT="0" distB="0" distL="114300" distR="114300" simplePos="0" relativeHeight="251660288" behindDoc="0" locked="0" layoutInCell="1" allowOverlap="1" wp14:anchorId="4D04B017" wp14:editId="47E44D5A">
                <wp:simplePos x="0" y="0"/>
                <wp:positionH relativeFrom="margin">
                  <wp:posOffset>1847133</wp:posOffset>
                </wp:positionH>
                <wp:positionV relativeFrom="paragraph">
                  <wp:posOffset>1166140</wp:posOffset>
                </wp:positionV>
                <wp:extent cx="1478477" cy="308759"/>
                <wp:effectExtent l="19050" t="19050" r="26670" b="15240"/>
                <wp:wrapNone/>
                <wp:docPr id="4" name="Rectángulo 4"/>
                <wp:cNvGraphicFramePr/>
                <a:graphic xmlns:a="http://schemas.openxmlformats.org/drawingml/2006/main">
                  <a:graphicData uri="http://schemas.microsoft.com/office/word/2010/wordprocessingShape">
                    <wps:wsp>
                      <wps:cNvSpPr/>
                      <wps:spPr>
                        <a:xfrm>
                          <a:off x="0" y="0"/>
                          <a:ext cx="1478477" cy="30875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30A75" id="Rectángulo 4" o:spid="_x0000_s1026" style="position:absolute;margin-left:145.45pt;margin-top:91.8pt;width:116.4pt;height:24.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" filled="f" strokecolor="red" strokeweight="2.25pt">
                <w10:wrap anchorx="margin"/>
              </v:rect>
            </w:pict>
          </mc:Fallback>
        </mc:AlternateContent>
      </w:r>
      <w:r>
        <w:rPr>
          <w:noProof/>
          <w:lang w:eastAsia="es-MX"/>
        </w:rPr>
        <mc:AlternateContent>
          <mc:Choice Requires="wps">
            <w:drawing>
              <wp:anchor distT="0" distB="0" distL="114300" distR="114300" simplePos="0" relativeHeight="251661312" behindDoc="0" locked="0" layoutInCell="1" allowOverlap="1" wp14:anchorId="45D800E1" wp14:editId="0AA6A48A">
                <wp:simplePos x="0" y="0"/>
                <wp:positionH relativeFrom="column">
                  <wp:posOffset>-99712</wp:posOffset>
                </wp:positionH>
                <wp:positionV relativeFrom="paragraph">
                  <wp:posOffset>84802</wp:posOffset>
                </wp:positionV>
                <wp:extent cx="527322" cy="241223"/>
                <wp:effectExtent l="0" t="19050" r="44450" b="45085"/>
                <wp:wrapNone/>
                <wp:docPr id="6" name="Flecha derecha 6"/>
                <wp:cNvGraphicFramePr/>
                <a:graphic xmlns:a="http://schemas.openxmlformats.org/drawingml/2006/main">
                  <a:graphicData uri="http://schemas.microsoft.com/office/word/2010/wordprocessingShape">
                    <wps:wsp>
                      <wps:cNvSpPr/>
                      <wps:spPr>
                        <a:xfrm>
                          <a:off x="0" y="0"/>
                          <a:ext cx="527322" cy="24122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A341F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6" o:spid="_x0000_s1026" type="#_x0000_t13" style="position:absolute;margin-left:-7.85pt;margin-top:6.7pt;width:41.5pt;height:1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" adj="16660" fillcolor="#5b9bd5 [3204]" strokecolor="#1f4d78 [1604]" strokeweight="1pt"/>
            </w:pict>
          </mc:Fallback>
        </mc:AlternateContent>
      </w:r>
      <w:r>
        <w:rPr>
          <w:noProof/>
          <w:lang w:eastAsia="es-MX"/>
        </w:rPr>
        <w:drawing>
          <wp:inline distT="0" distB="0" distL="0" distR="0" wp14:anchorId="3602EBB8" wp14:editId="2919C46B">
            <wp:extent cx="4984999" cy="1686296"/>
            <wp:effectExtent l="0" t="0" r="635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0457" t="19135" r="20139" b="39131"/>
                    <a:stretch/>
                  </pic:blipFill>
                  <pic:spPr bwMode="auto">
                    <a:xfrm>
                      <a:off x="0" y="0"/>
                      <a:ext cx="5003396" cy="1692519"/>
                    </a:xfrm>
                    <a:prstGeom prst="rect">
                      <a:avLst/>
                    </a:prstGeom>
                    <a:ln>
                      <a:noFill/>
                    </a:ln>
                    <a:extLst>
                      <a:ext uri="{53640926-AAD7-44D8-BBD7-CCE9431645EC}">
                        <a14:shadowObscured xmlns:a14="http://schemas.microsoft.com/office/drawing/2010/main"/>
                      </a:ext>
                    </a:extLst>
                  </pic:spPr>
                </pic:pic>
              </a:graphicData>
            </a:graphic>
          </wp:inline>
        </w:drawing>
      </w:r>
    </w:p>
    <w:p w:rsidR="00567E5D" w:rsidRPr="00E923E3" w:rsidRDefault="00A1466E" w:rsidP="00567E5D">
      <w:pPr>
        <w:spacing w:line="360" w:lineRule="auto"/>
        <w:jc w:val="both"/>
        <w:rPr>
          <w:rFonts w:ascii="Palatino Linotype" w:hAnsi="Palatino Linotype" w:cs="Arial"/>
        </w:rPr>
      </w:pPr>
      <w:r>
        <w:rPr>
          <w:rFonts w:ascii="Palatino Linotype" w:hAnsi="Palatino Linotype" w:cs="Arial"/>
        </w:rPr>
        <w:t xml:space="preserve">Así, del estudio de la resolución se advierte que la Ponencia Resolutora </w:t>
      </w:r>
      <w:r w:rsidR="00567E5D">
        <w:rPr>
          <w:rFonts w:ascii="Palatino Linotype" w:hAnsi="Palatino Linotype" w:cs="Arial"/>
        </w:rPr>
        <w:t>precisa que la modalidad de entrega de la información pública solicitada corresponde efect</w:t>
      </w:r>
      <w:r w:rsidR="00105260">
        <w:rPr>
          <w:rFonts w:ascii="Palatino Linotype" w:hAnsi="Palatino Linotype" w:cs="Arial"/>
        </w:rPr>
        <w:t>ivamente en Copias Simples con c</w:t>
      </w:r>
      <w:r w:rsidR="00567E5D">
        <w:rPr>
          <w:rFonts w:ascii="Palatino Linotype" w:hAnsi="Palatino Linotype" w:cs="Arial"/>
        </w:rPr>
        <w:t xml:space="preserve">osto motivo por el cual determina que </w:t>
      </w:r>
      <w:r w:rsidR="00567E5D">
        <w:rPr>
          <w:rFonts w:ascii="Palatino Linotype" w:hAnsi="Palatino Linotype" w:cs="Arial"/>
          <w:b/>
        </w:rPr>
        <w:t xml:space="preserve">EL SUJETO OBLIGADO </w:t>
      </w:r>
      <w:r w:rsidR="00567E5D">
        <w:rPr>
          <w:rFonts w:ascii="Palatino Linotype" w:hAnsi="Palatino Linotype" w:cs="Arial"/>
        </w:rPr>
        <w:t>deberá</w:t>
      </w:r>
      <w:r w:rsidR="00567E5D" w:rsidRPr="00E923E3">
        <w:rPr>
          <w:rFonts w:ascii="Palatino Linotype" w:hAnsi="Palatino Linotype" w:cs="Arial"/>
        </w:rPr>
        <w:t xml:space="preserve"> dar a conocer al </w:t>
      </w:r>
      <w:r w:rsidR="00567E5D" w:rsidRPr="00567E5D">
        <w:rPr>
          <w:rFonts w:ascii="Palatino Linotype" w:hAnsi="Palatino Linotype" w:cs="Arial"/>
          <w:b/>
        </w:rPr>
        <w:t>RECURRENTE</w:t>
      </w:r>
      <w:r w:rsidR="00567E5D" w:rsidRPr="00E923E3">
        <w:rPr>
          <w:rFonts w:ascii="Palatino Linotype" w:hAnsi="Palatino Linotype" w:cs="Arial"/>
        </w:rPr>
        <w:t xml:space="preserve"> el número de fojas que componen el tot</w:t>
      </w:r>
      <w:r w:rsidR="00567E5D">
        <w:rPr>
          <w:rFonts w:ascii="Palatino Linotype" w:hAnsi="Palatino Linotype" w:cs="Arial"/>
        </w:rPr>
        <w:t>al de la información solicitada,</w:t>
      </w:r>
      <w:r w:rsidR="00567E5D" w:rsidRPr="00E923E3">
        <w:rPr>
          <w:rFonts w:ascii="Palatino Linotype" w:hAnsi="Palatino Linotype" w:cs="Arial"/>
        </w:rPr>
        <w:t xml:space="preserve"> así como</w:t>
      </w:r>
      <w:r w:rsidR="00567E5D">
        <w:rPr>
          <w:rFonts w:ascii="Palatino Linotype" w:hAnsi="Palatino Linotype" w:cs="Arial"/>
        </w:rPr>
        <w:t>,</w:t>
      </w:r>
      <w:r w:rsidR="00567E5D" w:rsidRPr="00E923E3">
        <w:rPr>
          <w:rFonts w:ascii="Palatino Linotype" w:hAnsi="Palatino Linotype" w:cs="Arial"/>
        </w:rPr>
        <w:t xml:space="preserve"> precisarse el modo de pago y costo total, </w:t>
      </w:r>
      <w:r w:rsidR="00105260">
        <w:rPr>
          <w:rFonts w:ascii="Palatino Linotype" w:hAnsi="Palatino Linotype" w:cs="Arial"/>
        </w:rPr>
        <w:t>en relación con lo que establece</w:t>
      </w:r>
      <w:r w:rsidR="00567E5D" w:rsidRPr="00E923E3">
        <w:rPr>
          <w:rFonts w:ascii="Palatino Linotype" w:hAnsi="Palatino Linotype" w:cs="Arial"/>
        </w:rPr>
        <w:t xml:space="preserve"> el Código Financiero del Estado de México y Municipios.</w:t>
      </w:r>
    </w:p>
    <w:p w:rsidR="00567E5D" w:rsidRDefault="00567E5D" w:rsidP="00A1466E">
      <w:pPr>
        <w:spacing w:line="360" w:lineRule="auto"/>
        <w:jc w:val="both"/>
        <w:rPr>
          <w:rFonts w:ascii="Palatino Linotype" w:hAnsi="Palatino Linotype" w:cs="Arial"/>
        </w:rPr>
      </w:pPr>
    </w:p>
    <w:p w:rsidR="00F70C1B" w:rsidRPr="00E923E3" w:rsidRDefault="00F70C1B" w:rsidP="00F70C1B">
      <w:pPr>
        <w:pStyle w:val="Sinespaciado"/>
        <w:spacing w:line="360" w:lineRule="auto"/>
        <w:jc w:val="both"/>
        <w:rPr>
          <w:rFonts w:ascii="Palatino Linotype" w:hAnsi="Palatino Linotype" w:cs="Arial"/>
        </w:rPr>
      </w:pPr>
      <w:r w:rsidRPr="00E923E3">
        <w:rPr>
          <w:rFonts w:ascii="Palatino Linotype" w:hAnsi="Palatino Linotype" w:cs="Arial"/>
        </w:rPr>
        <w:t xml:space="preserve">Por lo que, dado </w:t>
      </w:r>
      <w:r w:rsidR="00105260">
        <w:rPr>
          <w:rFonts w:ascii="Palatino Linotype" w:hAnsi="Palatino Linotype" w:cs="Arial"/>
        </w:rPr>
        <w:t xml:space="preserve">a </w:t>
      </w:r>
      <w:r w:rsidRPr="00E923E3">
        <w:rPr>
          <w:rFonts w:ascii="Palatino Linotype" w:hAnsi="Palatino Linotype" w:cs="Arial"/>
        </w:rPr>
        <w:t xml:space="preserve">que </w:t>
      </w:r>
      <w:r w:rsidR="00105260" w:rsidRPr="00105260">
        <w:rPr>
          <w:rFonts w:ascii="Palatino Linotype" w:hAnsi="Palatino Linotype" w:cs="Arial"/>
          <w:b/>
        </w:rPr>
        <w:t>EL</w:t>
      </w:r>
      <w:r w:rsidRPr="00E923E3">
        <w:rPr>
          <w:rFonts w:ascii="Palatino Linotype" w:hAnsi="Palatino Linotype" w:cs="Arial"/>
        </w:rPr>
        <w:t xml:space="preserve"> </w:t>
      </w:r>
      <w:r w:rsidRPr="00F70C1B">
        <w:rPr>
          <w:rFonts w:ascii="Palatino Linotype" w:hAnsi="Palatino Linotype" w:cs="Arial"/>
          <w:b/>
        </w:rPr>
        <w:t>RECURRENTE</w:t>
      </w:r>
      <w:r w:rsidRPr="00E923E3">
        <w:rPr>
          <w:rFonts w:ascii="Palatino Linotype" w:hAnsi="Palatino Linotype" w:cs="Arial"/>
        </w:rPr>
        <w:t xml:space="preserve"> </w:t>
      </w:r>
      <w:r>
        <w:rPr>
          <w:rFonts w:ascii="Palatino Linotype" w:hAnsi="Palatino Linotype" w:cs="Arial"/>
        </w:rPr>
        <w:t>solicitó</w:t>
      </w:r>
      <w:r w:rsidRPr="00E923E3">
        <w:rPr>
          <w:rFonts w:ascii="Palatino Linotype" w:hAnsi="Palatino Linotype" w:cs="Arial"/>
        </w:rPr>
        <w:t xml:space="preserve"> la información en copias simples con costo, </w:t>
      </w:r>
      <w:r w:rsidRPr="00F70C1B">
        <w:rPr>
          <w:rFonts w:ascii="Palatino Linotype" w:hAnsi="Palatino Linotype" w:cs="Arial"/>
          <w:b/>
        </w:rPr>
        <w:t>EL SUJETO OBLIGADO</w:t>
      </w:r>
      <w:r w:rsidRPr="00E923E3">
        <w:rPr>
          <w:rFonts w:ascii="Palatino Linotype" w:hAnsi="Palatino Linotype" w:cs="Arial"/>
        </w:rPr>
        <w:t xml:space="preserve"> </w:t>
      </w:r>
      <w:r>
        <w:rPr>
          <w:rFonts w:ascii="Palatino Linotype" w:hAnsi="Palatino Linotype" w:cs="Arial"/>
        </w:rPr>
        <w:t>debería</w:t>
      </w:r>
      <w:r w:rsidRPr="00E923E3">
        <w:rPr>
          <w:rFonts w:ascii="Palatino Linotype" w:hAnsi="Palatino Linotype" w:cs="Arial"/>
        </w:rPr>
        <w:t xml:space="preserve"> notificarle el costo total de la reproducción de los documentos solicitados, el lugar y horario en que ser</w:t>
      </w:r>
      <w:r w:rsidR="00105260">
        <w:rPr>
          <w:rFonts w:ascii="Palatino Linotype" w:hAnsi="Palatino Linotype" w:cs="Arial"/>
        </w:rPr>
        <w:t>ía</w:t>
      </w:r>
      <w:r w:rsidRPr="00E923E3">
        <w:rPr>
          <w:rFonts w:ascii="Palatino Linotype" w:hAnsi="Palatino Linotype" w:cs="Arial"/>
        </w:rPr>
        <w:t xml:space="preserve"> puesta a su disposición la </w:t>
      </w:r>
      <w:r w:rsidRPr="00E923E3">
        <w:rPr>
          <w:rFonts w:ascii="Palatino Linotype" w:hAnsi="Palatino Linotype" w:cs="Arial"/>
        </w:rPr>
        <w:lastRenderedPageBreak/>
        <w:t>información, en términos de los artículos 17 y 174 de la Ley de Transparencia y Acceso a la Información Pública del Estado de México y Municipios</w:t>
      </w:r>
      <w:r w:rsidR="00105260">
        <w:rPr>
          <w:rFonts w:ascii="Palatino Linotype" w:hAnsi="Palatino Linotype" w:cs="Arial"/>
        </w:rPr>
        <w:t>,</w:t>
      </w:r>
      <w:r w:rsidRPr="00E923E3">
        <w:rPr>
          <w:rFonts w:ascii="Palatino Linotype" w:hAnsi="Palatino Linotype" w:cs="Arial"/>
        </w:rPr>
        <w:t xml:space="preserve"> que dispone</w:t>
      </w:r>
      <w:r w:rsidR="00105260">
        <w:rPr>
          <w:rFonts w:ascii="Palatino Linotype" w:hAnsi="Palatino Linotype" w:cs="Arial"/>
        </w:rPr>
        <w:t>n</w:t>
      </w:r>
      <w:r w:rsidRPr="00E923E3">
        <w:rPr>
          <w:rFonts w:ascii="Palatino Linotype" w:hAnsi="Palatino Linotype" w:cs="Arial"/>
        </w:rPr>
        <w:t xml:space="preserve"> lo siguiente: </w:t>
      </w:r>
    </w:p>
    <w:p w:rsidR="00F70C1B" w:rsidRPr="00E923E3" w:rsidRDefault="00F70C1B" w:rsidP="00F70C1B">
      <w:pPr>
        <w:pStyle w:val="Sinespaciado"/>
        <w:ind w:left="851" w:right="899"/>
        <w:jc w:val="both"/>
        <w:rPr>
          <w:rFonts w:ascii="Palatino Linotype" w:hAnsi="Palatino Linotype"/>
          <w:i/>
          <w:sz w:val="22"/>
          <w:szCs w:val="22"/>
        </w:rPr>
      </w:pPr>
      <w:r w:rsidRPr="00E923E3">
        <w:rPr>
          <w:rFonts w:ascii="Palatino Linotype" w:hAnsi="Palatino Linotype"/>
          <w:b/>
          <w:i/>
          <w:sz w:val="22"/>
          <w:szCs w:val="22"/>
        </w:rPr>
        <w:t>Artículo 17.</w:t>
      </w:r>
      <w:r w:rsidRPr="00E923E3">
        <w:rPr>
          <w:rFonts w:ascii="Palatino Linotype" w:hAnsi="Palatino Linotype"/>
          <w:i/>
          <w:sz w:val="22"/>
          <w:szCs w:val="22"/>
        </w:rPr>
        <w:t xml:space="preserve"> La búsqueda y acceso a la información es gratuita y solo se cubrirán los gastos de reproducción, o </w:t>
      </w:r>
      <w:r w:rsidRPr="00E923E3">
        <w:rPr>
          <w:rFonts w:ascii="Palatino Linotype" w:hAnsi="Palatino Linotype"/>
          <w:b/>
          <w:i/>
          <w:sz w:val="22"/>
          <w:szCs w:val="22"/>
        </w:rPr>
        <w:t>por la modalidad de entrega solicitada</w:t>
      </w:r>
      <w:r w:rsidRPr="00E923E3">
        <w:rPr>
          <w:rFonts w:ascii="Palatino Linotype" w:hAnsi="Palatino Linotype"/>
          <w:i/>
          <w:sz w:val="22"/>
          <w:szCs w:val="22"/>
        </w:rPr>
        <w:t>, así como por el envío, que en su caso se genere, de conformidad con los derechos, productos y aprovechamientos establecidos en la legislación aplicable, sin que exceda de los límites establecidos en la presente Ley.</w:t>
      </w:r>
    </w:p>
    <w:p w:rsidR="00F70C1B" w:rsidRPr="00E923E3" w:rsidRDefault="00F70C1B" w:rsidP="00F70C1B">
      <w:pPr>
        <w:pStyle w:val="Sinespaciado"/>
        <w:ind w:left="851" w:right="899"/>
        <w:jc w:val="both"/>
        <w:rPr>
          <w:rFonts w:ascii="Palatino Linotype" w:hAnsi="Palatino Linotype"/>
          <w:i/>
          <w:sz w:val="22"/>
          <w:szCs w:val="22"/>
        </w:rPr>
      </w:pPr>
    </w:p>
    <w:p w:rsidR="00F70C1B" w:rsidRPr="00E923E3" w:rsidRDefault="00F70C1B" w:rsidP="00F70C1B">
      <w:pPr>
        <w:pStyle w:val="Sinespaciado"/>
        <w:ind w:left="851" w:right="899"/>
        <w:jc w:val="both"/>
        <w:rPr>
          <w:rFonts w:ascii="Palatino Linotype" w:hAnsi="Palatino Linotype"/>
          <w:i/>
          <w:sz w:val="22"/>
          <w:szCs w:val="22"/>
        </w:rPr>
      </w:pPr>
      <w:r w:rsidRPr="00E923E3">
        <w:rPr>
          <w:rFonts w:ascii="Palatino Linotype" w:hAnsi="Palatino Linotype"/>
          <w:b/>
          <w:i/>
          <w:sz w:val="22"/>
          <w:szCs w:val="22"/>
        </w:rPr>
        <w:t>Artículo 174.</w:t>
      </w:r>
      <w:r w:rsidRPr="00E923E3">
        <w:rPr>
          <w:rFonts w:ascii="Palatino Linotype" w:hAnsi="Palatino Linotype"/>
          <w:i/>
          <w:sz w:val="22"/>
          <w:szCs w:val="22"/>
        </w:rPr>
        <w:t xml:space="preserve"> En </w:t>
      </w:r>
      <w:r w:rsidRPr="00E923E3">
        <w:rPr>
          <w:rFonts w:ascii="Palatino Linotype" w:hAnsi="Palatino Linotype"/>
          <w:i/>
          <w:iCs/>
          <w:sz w:val="22"/>
          <w:szCs w:val="22"/>
          <w:lang w:val="es-ES"/>
        </w:rPr>
        <w:t>caso</w:t>
      </w:r>
      <w:r w:rsidRPr="00E923E3">
        <w:rPr>
          <w:rFonts w:ascii="Palatino Linotype" w:hAnsi="Palatino Linotype"/>
          <w:i/>
          <w:sz w:val="22"/>
          <w:szCs w:val="22"/>
        </w:rPr>
        <w:t xml:space="preserve"> de existir costos para obtener la información deberán cubrirse de manera previa a la entrega y no podrán ser superiores a la suma de: </w:t>
      </w:r>
    </w:p>
    <w:p w:rsidR="00F70C1B" w:rsidRPr="00E923E3" w:rsidRDefault="00F70C1B" w:rsidP="00F70C1B">
      <w:pPr>
        <w:pStyle w:val="Sinespaciado"/>
        <w:ind w:left="851" w:right="899"/>
        <w:jc w:val="both"/>
        <w:rPr>
          <w:rFonts w:ascii="Palatino Linotype" w:hAnsi="Palatino Linotype"/>
          <w:i/>
          <w:sz w:val="22"/>
          <w:szCs w:val="22"/>
        </w:rPr>
      </w:pPr>
    </w:p>
    <w:p w:rsidR="00F70C1B" w:rsidRPr="00E923E3" w:rsidRDefault="00F70C1B" w:rsidP="00F70C1B">
      <w:pPr>
        <w:pStyle w:val="Sinespaciado"/>
        <w:ind w:left="851" w:right="899"/>
        <w:jc w:val="both"/>
        <w:rPr>
          <w:rFonts w:ascii="Palatino Linotype" w:hAnsi="Palatino Linotype"/>
          <w:i/>
          <w:sz w:val="22"/>
          <w:szCs w:val="22"/>
        </w:rPr>
      </w:pPr>
      <w:r w:rsidRPr="00E923E3">
        <w:rPr>
          <w:rFonts w:ascii="Palatino Linotype" w:hAnsi="Palatino Linotype"/>
          <w:i/>
          <w:sz w:val="22"/>
          <w:szCs w:val="22"/>
        </w:rPr>
        <w:t xml:space="preserve">I. El costo de los materiales utilizados en la reproducción de la información; </w:t>
      </w:r>
    </w:p>
    <w:p w:rsidR="00F70C1B" w:rsidRPr="00E923E3" w:rsidRDefault="00F70C1B" w:rsidP="00F70C1B">
      <w:pPr>
        <w:pStyle w:val="Sinespaciado"/>
        <w:ind w:left="851" w:right="899"/>
        <w:jc w:val="both"/>
        <w:rPr>
          <w:rFonts w:ascii="Palatino Linotype" w:hAnsi="Palatino Linotype"/>
          <w:i/>
          <w:sz w:val="22"/>
          <w:szCs w:val="22"/>
        </w:rPr>
      </w:pPr>
      <w:r w:rsidRPr="00E923E3">
        <w:rPr>
          <w:rFonts w:ascii="Palatino Linotype" w:hAnsi="Palatino Linotype"/>
          <w:i/>
          <w:sz w:val="22"/>
          <w:szCs w:val="22"/>
        </w:rPr>
        <w:t xml:space="preserve">II. El costo de envío, en su caso; y </w:t>
      </w:r>
    </w:p>
    <w:p w:rsidR="00F70C1B" w:rsidRPr="00E923E3" w:rsidRDefault="00F70C1B" w:rsidP="00F70C1B">
      <w:pPr>
        <w:pStyle w:val="Sinespaciado"/>
        <w:ind w:left="851" w:right="899"/>
        <w:jc w:val="both"/>
        <w:rPr>
          <w:rFonts w:ascii="Palatino Linotype" w:hAnsi="Palatino Linotype"/>
          <w:i/>
          <w:sz w:val="22"/>
          <w:szCs w:val="22"/>
        </w:rPr>
      </w:pPr>
      <w:r w:rsidRPr="00E923E3">
        <w:rPr>
          <w:rFonts w:ascii="Palatino Linotype" w:hAnsi="Palatino Linotype"/>
          <w:i/>
          <w:sz w:val="22"/>
          <w:szCs w:val="22"/>
        </w:rPr>
        <w:t>III. El pago de la certificación de los documentos, cuando proceda.</w:t>
      </w:r>
    </w:p>
    <w:p w:rsidR="00F70C1B" w:rsidRPr="00E923E3" w:rsidRDefault="00F70C1B" w:rsidP="00F70C1B">
      <w:pPr>
        <w:pStyle w:val="Sinespaciado"/>
        <w:ind w:left="851" w:right="899"/>
        <w:jc w:val="both"/>
        <w:rPr>
          <w:rFonts w:ascii="Palatino Linotype" w:hAnsi="Palatino Linotype"/>
          <w:b/>
          <w:i/>
          <w:sz w:val="22"/>
          <w:szCs w:val="22"/>
          <w:u w:val="single"/>
        </w:rPr>
      </w:pPr>
    </w:p>
    <w:p w:rsidR="00F70C1B" w:rsidRPr="00E923E3" w:rsidRDefault="00F70C1B" w:rsidP="00F70C1B">
      <w:pPr>
        <w:pStyle w:val="Sinespaciado"/>
        <w:ind w:left="851" w:right="899"/>
        <w:jc w:val="both"/>
        <w:rPr>
          <w:rFonts w:ascii="Palatino Linotype" w:hAnsi="Palatino Linotype"/>
          <w:i/>
          <w:sz w:val="22"/>
          <w:szCs w:val="22"/>
        </w:rPr>
      </w:pPr>
      <w:r w:rsidRPr="00E923E3">
        <w:rPr>
          <w:rFonts w:ascii="Palatino Linotype" w:hAnsi="Palatino Linotype"/>
          <w:b/>
          <w:i/>
          <w:sz w:val="22"/>
          <w:szCs w:val="22"/>
          <w:u w:val="single"/>
        </w:rPr>
        <w:t>Las cuotas de los derechos aplicables deberán establecerse, en su caso, en el Código Financiero del Estado de México y Municipios</w:t>
      </w:r>
      <w:r w:rsidRPr="00E923E3">
        <w:rPr>
          <w:rFonts w:ascii="Palatino Linotype" w:hAnsi="Palatino Linotype"/>
          <w:i/>
          <w:sz w:val="22"/>
          <w:szCs w:val="22"/>
        </w:rPr>
        <w:t xml:space="preserve"> y demás disposiciones jurídicas aplicables, las cuales se publicarán en los sitios de internet de los sujetos obligados. En su determinación se deberá considerar que los montos permitan o faciliten el ejercicio del derecho de acceso a la información. </w:t>
      </w:r>
    </w:p>
    <w:p w:rsidR="00F70C1B" w:rsidRPr="00E923E3" w:rsidRDefault="00F70C1B" w:rsidP="00F70C1B">
      <w:pPr>
        <w:pStyle w:val="Sinespaciado"/>
        <w:ind w:left="851" w:right="899"/>
        <w:jc w:val="both"/>
        <w:rPr>
          <w:rFonts w:ascii="Palatino Linotype" w:hAnsi="Palatino Linotype"/>
          <w:i/>
          <w:sz w:val="22"/>
          <w:szCs w:val="22"/>
        </w:rPr>
      </w:pPr>
    </w:p>
    <w:p w:rsidR="00F70C1B" w:rsidRPr="00E923E3" w:rsidRDefault="00F70C1B" w:rsidP="00F70C1B">
      <w:pPr>
        <w:pStyle w:val="Sinespaciado"/>
        <w:ind w:left="851" w:right="899"/>
        <w:jc w:val="both"/>
        <w:rPr>
          <w:rFonts w:ascii="Palatino Linotype" w:hAnsi="Palatino Linotype"/>
          <w:i/>
          <w:sz w:val="22"/>
          <w:szCs w:val="22"/>
        </w:rPr>
      </w:pPr>
      <w:r w:rsidRPr="00E923E3">
        <w:rPr>
          <w:rFonts w:ascii="Palatino Linotype" w:hAnsi="Palatino Linotype"/>
          <w:i/>
          <w:sz w:val="22"/>
          <w:szCs w:val="22"/>
        </w:rPr>
        <w:t xml:space="preserve">Los sujetos obligados a los que no les sea aplicable el Código Financiero del Estado de México y Municipios deberán establecer cuotas que no sean mayores a las dispuestas en dicho ordenamiento. </w:t>
      </w:r>
    </w:p>
    <w:p w:rsidR="00F70C1B" w:rsidRPr="00E923E3" w:rsidRDefault="00F70C1B" w:rsidP="00F70C1B">
      <w:pPr>
        <w:pStyle w:val="Sinespaciado"/>
        <w:ind w:left="851" w:right="899"/>
        <w:jc w:val="both"/>
        <w:rPr>
          <w:rFonts w:ascii="Palatino Linotype" w:hAnsi="Palatino Linotype"/>
          <w:i/>
          <w:sz w:val="22"/>
          <w:szCs w:val="22"/>
        </w:rPr>
      </w:pPr>
    </w:p>
    <w:p w:rsidR="00F70C1B" w:rsidRPr="00F70C1B" w:rsidRDefault="00F70C1B" w:rsidP="00F70C1B">
      <w:pPr>
        <w:pStyle w:val="Sinespaciado"/>
        <w:ind w:left="851" w:right="899"/>
        <w:jc w:val="both"/>
        <w:rPr>
          <w:rFonts w:ascii="Palatino Linotype" w:hAnsi="Palatino Linotype"/>
          <w:i/>
          <w:sz w:val="22"/>
          <w:szCs w:val="22"/>
        </w:rPr>
      </w:pPr>
      <w:r w:rsidRPr="00F70C1B">
        <w:rPr>
          <w:rFonts w:ascii="Palatino Linotype" w:hAnsi="Palatino Linotype"/>
          <w:i/>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rsidR="00F70C1B" w:rsidRPr="00E923E3" w:rsidRDefault="00F70C1B" w:rsidP="00F70C1B">
      <w:pPr>
        <w:pStyle w:val="Sinespaciado"/>
        <w:spacing w:line="360" w:lineRule="auto"/>
        <w:jc w:val="both"/>
        <w:rPr>
          <w:rFonts w:ascii="Palatino Linotype" w:hAnsi="Palatino Linotype"/>
        </w:rPr>
      </w:pPr>
    </w:p>
    <w:p w:rsidR="00F70C1B" w:rsidRPr="00E923E3" w:rsidRDefault="00F70C1B" w:rsidP="00F70C1B">
      <w:pPr>
        <w:pStyle w:val="Sinespaciado"/>
        <w:spacing w:line="360" w:lineRule="auto"/>
        <w:jc w:val="both"/>
        <w:rPr>
          <w:rFonts w:ascii="Palatino Linotype" w:hAnsi="Palatino Linotype"/>
        </w:rPr>
      </w:pPr>
      <w:r w:rsidRPr="00E923E3">
        <w:rPr>
          <w:rFonts w:ascii="Palatino Linotype" w:hAnsi="Palatino Linotype"/>
        </w:rPr>
        <w:t xml:space="preserve">De lo expuesto, </w:t>
      </w:r>
      <w:r w:rsidRPr="00F70C1B">
        <w:rPr>
          <w:rFonts w:ascii="Palatino Linotype" w:hAnsi="Palatino Linotype"/>
          <w:b/>
        </w:rPr>
        <w:t>EL SUJETO OBLIGADO</w:t>
      </w:r>
      <w:r w:rsidRPr="00E923E3">
        <w:rPr>
          <w:rFonts w:ascii="Palatino Linotype" w:hAnsi="Palatino Linotype"/>
        </w:rPr>
        <w:t xml:space="preserve"> deber</w:t>
      </w:r>
      <w:r>
        <w:rPr>
          <w:rFonts w:ascii="Palatino Linotype" w:hAnsi="Palatino Linotype"/>
        </w:rPr>
        <w:t>ía</w:t>
      </w:r>
      <w:r w:rsidRPr="00E923E3">
        <w:rPr>
          <w:rFonts w:ascii="Palatino Linotype" w:hAnsi="Palatino Linotype"/>
        </w:rPr>
        <w:t xml:space="preserve"> notificarle al </w:t>
      </w:r>
      <w:r w:rsidRPr="00F70C1B">
        <w:rPr>
          <w:rFonts w:ascii="Palatino Linotype" w:hAnsi="Palatino Linotype"/>
          <w:b/>
        </w:rPr>
        <w:t>RECURRENTE</w:t>
      </w:r>
      <w:r w:rsidRPr="00E923E3">
        <w:rPr>
          <w:rFonts w:ascii="Palatino Linotype" w:hAnsi="Palatino Linotype"/>
        </w:rPr>
        <w:t>, al menos, lo siguiente:</w:t>
      </w:r>
    </w:p>
    <w:p w:rsidR="00F70C1B" w:rsidRPr="00E923E3" w:rsidRDefault="00F70C1B" w:rsidP="00F70C1B">
      <w:pPr>
        <w:pStyle w:val="Sinespaciado"/>
        <w:numPr>
          <w:ilvl w:val="0"/>
          <w:numId w:val="5"/>
        </w:numPr>
        <w:spacing w:line="360" w:lineRule="auto"/>
        <w:jc w:val="both"/>
        <w:rPr>
          <w:rFonts w:ascii="Palatino Linotype" w:hAnsi="Palatino Linotype"/>
        </w:rPr>
      </w:pPr>
      <w:r w:rsidRPr="00E923E3">
        <w:rPr>
          <w:rFonts w:ascii="Palatino Linotype" w:hAnsi="Palatino Linotype"/>
        </w:rPr>
        <w:t>El costo unitario;</w:t>
      </w:r>
    </w:p>
    <w:p w:rsidR="00F70C1B" w:rsidRPr="00E923E3" w:rsidRDefault="00F70C1B" w:rsidP="00F70C1B">
      <w:pPr>
        <w:pStyle w:val="Sinespaciado"/>
        <w:numPr>
          <w:ilvl w:val="0"/>
          <w:numId w:val="5"/>
        </w:numPr>
        <w:spacing w:line="360" w:lineRule="auto"/>
        <w:jc w:val="both"/>
        <w:rPr>
          <w:rFonts w:ascii="Palatino Linotype" w:hAnsi="Palatino Linotype"/>
        </w:rPr>
      </w:pPr>
      <w:r w:rsidRPr="00E923E3">
        <w:rPr>
          <w:rFonts w:ascii="Palatino Linotype" w:hAnsi="Palatino Linotype"/>
        </w:rPr>
        <w:t>El costo global;</w:t>
      </w:r>
    </w:p>
    <w:p w:rsidR="00F70C1B" w:rsidRPr="00E923E3" w:rsidRDefault="00F70C1B" w:rsidP="00F70C1B">
      <w:pPr>
        <w:pStyle w:val="Sinespaciado"/>
        <w:numPr>
          <w:ilvl w:val="0"/>
          <w:numId w:val="5"/>
        </w:numPr>
        <w:spacing w:line="360" w:lineRule="auto"/>
        <w:jc w:val="both"/>
        <w:rPr>
          <w:rFonts w:ascii="Palatino Linotype" w:hAnsi="Palatino Linotype"/>
        </w:rPr>
      </w:pPr>
      <w:r w:rsidRPr="00E923E3">
        <w:rPr>
          <w:rFonts w:ascii="Palatino Linotype" w:hAnsi="Palatino Linotype"/>
        </w:rPr>
        <w:lastRenderedPageBreak/>
        <w:t>El fundamento del cobro;</w:t>
      </w:r>
    </w:p>
    <w:p w:rsidR="00F70C1B" w:rsidRPr="00E923E3" w:rsidRDefault="00F70C1B" w:rsidP="00F70C1B">
      <w:pPr>
        <w:pStyle w:val="Sinespaciado"/>
        <w:numPr>
          <w:ilvl w:val="0"/>
          <w:numId w:val="5"/>
        </w:numPr>
        <w:spacing w:line="360" w:lineRule="auto"/>
        <w:jc w:val="both"/>
        <w:rPr>
          <w:rFonts w:ascii="Palatino Linotype" w:hAnsi="Palatino Linotype"/>
        </w:rPr>
      </w:pPr>
      <w:r w:rsidRPr="00E923E3">
        <w:rPr>
          <w:rFonts w:ascii="Palatino Linotype" w:hAnsi="Palatino Linotype"/>
        </w:rPr>
        <w:t>El lugar y horario de entrega; y</w:t>
      </w:r>
    </w:p>
    <w:p w:rsidR="00F70C1B" w:rsidRPr="00E923E3" w:rsidRDefault="00F70C1B" w:rsidP="00F70C1B">
      <w:pPr>
        <w:pStyle w:val="Sinespaciado"/>
        <w:numPr>
          <w:ilvl w:val="0"/>
          <w:numId w:val="5"/>
        </w:numPr>
        <w:spacing w:line="360" w:lineRule="auto"/>
        <w:jc w:val="both"/>
        <w:rPr>
          <w:rFonts w:ascii="Palatino Linotype" w:hAnsi="Palatino Linotype"/>
        </w:rPr>
      </w:pPr>
      <w:r w:rsidRPr="00E923E3">
        <w:rPr>
          <w:rFonts w:ascii="Palatino Linotype" w:hAnsi="Palatino Linotype"/>
        </w:rPr>
        <w:t>El servidor público que atenderá al Recurrente.</w:t>
      </w:r>
    </w:p>
    <w:p w:rsidR="00F70C1B" w:rsidRPr="00E923E3" w:rsidRDefault="00F70C1B" w:rsidP="00F70C1B">
      <w:pPr>
        <w:pStyle w:val="Sinespaciado"/>
        <w:spacing w:line="360" w:lineRule="auto"/>
        <w:ind w:left="720"/>
        <w:jc w:val="both"/>
        <w:rPr>
          <w:rFonts w:ascii="Palatino Linotype" w:hAnsi="Palatino Linotype"/>
        </w:rPr>
      </w:pPr>
    </w:p>
    <w:p w:rsidR="00F70C1B" w:rsidRPr="00E923E3" w:rsidRDefault="00F70C1B" w:rsidP="00F70C1B">
      <w:pPr>
        <w:pStyle w:val="Sinespaciado"/>
        <w:spacing w:line="360" w:lineRule="auto"/>
        <w:jc w:val="both"/>
        <w:rPr>
          <w:rFonts w:ascii="Palatino Linotype" w:hAnsi="Palatino Linotype"/>
        </w:rPr>
      </w:pPr>
      <w:r w:rsidRPr="00E923E3">
        <w:rPr>
          <w:rFonts w:ascii="Palatino Linotype" w:hAnsi="Palatino Linotype"/>
        </w:rPr>
        <w:t xml:space="preserve">A efecto de que una vez cubierto el monto, </w:t>
      </w:r>
      <w:r>
        <w:rPr>
          <w:rFonts w:ascii="Palatino Linotype" w:hAnsi="Palatino Linotype"/>
        </w:rPr>
        <w:t xml:space="preserve">se </w:t>
      </w:r>
      <w:r w:rsidRPr="00E923E3">
        <w:rPr>
          <w:rFonts w:ascii="Palatino Linotype" w:hAnsi="Palatino Linotype"/>
        </w:rPr>
        <w:t>proced</w:t>
      </w:r>
      <w:r w:rsidR="00105260">
        <w:rPr>
          <w:rFonts w:ascii="Palatino Linotype" w:hAnsi="Palatino Linotype"/>
        </w:rPr>
        <w:t>ier</w:t>
      </w:r>
      <w:r w:rsidRPr="00E923E3">
        <w:rPr>
          <w:rFonts w:ascii="Palatino Linotype" w:hAnsi="Palatino Linotype"/>
        </w:rPr>
        <w:t>a a elaborar las copias simples solicitadas.</w:t>
      </w:r>
    </w:p>
    <w:p w:rsidR="00F70C1B" w:rsidRDefault="00F70C1B" w:rsidP="00A1466E">
      <w:pPr>
        <w:spacing w:line="360" w:lineRule="auto"/>
        <w:jc w:val="both"/>
        <w:rPr>
          <w:rFonts w:ascii="Palatino Linotype" w:hAnsi="Palatino Linotype" w:cs="Arial"/>
        </w:rPr>
      </w:pPr>
    </w:p>
    <w:p w:rsidR="00440030" w:rsidRDefault="00D93D90" w:rsidP="00A1466E">
      <w:pPr>
        <w:spacing w:line="360" w:lineRule="auto"/>
        <w:jc w:val="both"/>
        <w:rPr>
          <w:rFonts w:ascii="Palatino Linotype" w:hAnsi="Palatino Linotype"/>
          <w:color w:val="000000"/>
        </w:rPr>
      </w:pPr>
      <w:r>
        <w:rPr>
          <w:rFonts w:ascii="Palatino Linotype" w:hAnsi="Palatino Linotype" w:cs="Arial"/>
        </w:rPr>
        <w:t xml:space="preserve">Así es que, </w:t>
      </w:r>
      <w:r w:rsidR="00A1466E" w:rsidRPr="00265394">
        <w:rPr>
          <w:rFonts w:ascii="Palatino Linotype" w:hAnsi="Palatino Linotype"/>
          <w:color w:val="000000"/>
        </w:rPr>
        <w:t xml:space="preserve">si bien la misma Ley prevé la entrega de información previo pago de costos de reproducción y envío, también lo es que de conformidad con </w:t>
      </w:r>
      <w:r w:rsidR="00F70C1B">
        <w:rPr>
          <w:rFonts w:ascii="Palatino Linotype" w:hAnsi="Palatino Linotype"/>
          <w:color w:val="000000"/>
        </w:rPr>
        <w:t xml:space="preserve">lo establecido en el </w:t>
      </w:r>
      <w:r w:rsidR="00440030">
        <w:rPr>
          <w:rFonts w:ascii="Palatino Linotype" w:hAnsi="Palatino Linotype"/>
          <w:color w:val="000000"/>
        </w:rPr>
        <w:t>numeral 165 de la Ley de la materia</w:t>
      </w:r>
      <w:r w:rsidR="00F70C1B">
        <w:rPr>
          <w:rFonts w:ascii="Palatino Linotype" w:hAnsi="Palatino Linotype"/>
          <w:color w:val="000000"/>
        </w:rPr>
        <w:t xml:space="preserve"> establece que </w:t>
      </w:r>
      <w:r w:rsidR="00440030">
        <w:rPr>
          <w:rFonts w:ascii="Palatino Linotype" w:hAnsi="Palatino Linotype"/>
          <w:color w:val="000000"/>
        </w:rPr>
        <w:t>ante la falta de respuesta a una solicitud en el plazo previsto los costos de reproducción y envió correrán a cargo de los Sujetos Obligados, tal como puede apreciarse a continuación:</w:t>
      </w:r>
    </w:p>
    <w:p w:rsidR="00F70C1B" w:rsidRPr="00E923E3" w:rsidRDefault="00F70C1B" w:rsidP="00440030">
      <w:pPr>
        <w:spacing w:line="360" w:lineRule="auto"/>
        <w:jc w:val="both"/>
        <w:rPr>
          <w:rFonts w:ascii="Palatino Linotype" w:hAnsi="Palatino Linotype"/>
          <w:i/>
          <w:sz w:val="22"/>
          <w:szCs w:val="22"/>
        </w:rPr>
      </w:pPr>
    </w:p>
    <w:p w:rsidR="00440030" w:rsidRDefault="00440030" w:rsidP="00440030">
      <w:pPr>
        <w:ind w:left="851" w:right="899"/>
        <w:jc w:val="both"/>
        <w:rPr>
          <w:rFonts w:ascii="Palatino Linotype" w:hAnsi="Palatino Linotype"/>
          <w:i/>
          <w:sz w:val="22"/>
          <w:szCs w:val="22"/>
        </w:rPr>
      </w:pPr>
      <w:r w:rsidRPr="00440030">
        <w:rPr>
          <w:rFonts w:ascii="Palatino Linotype" w:hAnsi="Palatino Linotype"/>
          <w:b/>
          <w:i/>
          <w:sz w:val="22"/>
          <w:szCs w:val="22"/>
        </w:rPr>
        <w:t>“</w:t>
      </w:r>
      <w:r w:rsidR="00F70C1B" w:rsidRPr="00440030">
        <w:rPr>
          <w:rFonts w:ascii="Palatino Linotype" w:hAnsi="Palatino Linotype"/>
          <w:b/>
          <w:i/>
          <w:sz w:val="22"/>
          <w:szCs w:val="22"/>
        </w:rPr>
        <w:t>Artículo 165.</w:t>
      </w:r>
      <w:r w:rsidR="00F70C1B" w:rsidRPr="00440030">
        <w:rPr>
          <w:rFonts w:ascii="Palatino Linotype" w:hAnsi="Palatino Linotype"/>
          <w:i/>
          <w:sz w:val="22"/>
          <w:szCs w:val="22"/>
        </w:rPr>
        <w:t xml:space="preserve"> Los sujetos obligados establecerán la forma y términos en que darán trámite interno a las solicitudes en materia de acceso a la información. </w:t>
      </w:r>
    </w:p>
    <w:p w:rsidR="00440030" w:rsidRDefault="00440030" w:rsidP="00440030">
      <w:pPr>
        <w:ind w:left="851" w:right="899"/>
        <w:jc w:val="both"/>
        <w:rPr>
          <w:rFonts w:ascii="Palatino Linotype" w:hAnsi="Palatino Linotype"/>
          <w:i/>
          <w:sz w:val="22"/>
          <w:szCs w:val="22"/>
        </w:rPr>
      </w:pPr>
    </w:p>
    <w:p w:rsidR="00440030" w:rsidRDefault="00F70C1B" w:rsidP="00440030">
      <w:pPr>
        <w:ind w:left="851" w:right="899"/>
        <w:jc w:val="both"/>
        <w:rPr>
          <w:rFonts w:ascii="Palatino Linotype" w:hAnsi="Palatino Linotype"/>
          <w:i/>
          <w:sz w:val="22"/>
          <w:szCs w:val="22"/>
        </w:rPr>
      </w:pPr>
      <w:r w:rsidRPr="00440030">
        <w:rPr>
          <w:rFonts w:ascii="Palatino Linotype" w:hAnsi="Palatino Linotype"/>
          <w:i/>
          <w:sz w:val="22"/>
          <w:szCs w:val="22"/>
        </w:rPr>
        <w:t xml:space="preserve">La información que se entregue en versión pública, cuya modalidad de reproducción o envío tenga un costo, procederá una vez que se acredite el pago respectivo. No puede entenderse como reproducción la elaboración de la misma. </w:t>
      </w:r>
    </w:p>
    <w:p w:rsidR="00440030" w:rsidRDefault="00440030" w:rsidP="00440030">
      <w:pPr>
        <w:ind w:left="851" w:right="899"/>
        <w:jc w:val="both"/>
        <w:rPr>
          <w:rFonts w:ascii="Palatino Linotype" w:hAnsi="Palatino Linotype"/>
          <w:i/>
          <w:sz w:val="22"/>
          <w:szCs w:val="22"/>
        </w:rPr>
      </w:pPr>
    </w:p>
    <w:p w:rsidR="00F70C1B" w:rsidRDefault="00F70C1B" w:rsidP="00440030">
      <w:pPr>
        <w:ind w:left="851" w:right="899"/>
        <w:jc w:val="both"/>
        <w:rPr>
          <w:rFonts w:ascii="Palatino Linotype" w:hAnsi="Palatino Linotype"/>
          <w:i/>
          <w:sz w:val="22"/>
          <w:szCs w:val="22"/>
        </w:rPr>
      </w:pPr>
      <w:r w:rsidRPr="00105260">
        <w:rPr>
          <w:rFonts w:ascii="Palatino Linotype" w:hAnsi="Palatino Linotype"/>
          <w:b/>
          <w:i/>
          <w:sz w:val="22"/>
          <w:szCs w:val="22"/>
        </w:rPr>
        <w:t>Ante la falta de respuesta a una solicitud en el plazo previsto y en caso de que proceda el acceso, los costos de reproducción y envío correrán a cargo del sujeto obligado</w:t>
      </w:r>
      <w:r w:rsidRPr="00440030">
        <w:rPr>
          <w:rFonts w:ascii="Palatino Linotype" w:hAnsi="Palatino Linotype"/>
          <w:i/>
          <w:sz w:val="22"/>
          <w:szCs w:val="22"/>
        </w:rPr>
        <w:t>.</w:t>
      </w:r>
      <w:r w:rsidR="00105260">
        <w:rPr>
          <w:rFonts w:ascii="Palatino Linotype" w:hAnsi="Palatino Linotype"/>
          <w:i/>
          <w:sz w:val="22"/>
          <w:szCs w:val="22"/>
        </w:rPr>
        <w:t xml:space="preserve">” </w:t>
      </w:r>
    </w:p>
    <w:p w:rsidR="00105260" w:rsidRPr="00105260" w:rsidRDefault="00105260" w:rsidP="00440030">
      <w:pPr>
        <w:ind w:left="851" w:right="899"/>
        <w:jc w:val="both"/>
        <w:rPr>
          <w:rFonts w:ascii="Palatino Linotype" w:hAnsi="Palatino Linotype"/>
          <w:i/>
          <w:color w:val="000000"/>
          <w:sz w:val="22"/>
          <w:szCs w:val="22"/>
        </w:rPr>
      </w:pPr>
      <w:r w:rsidRPr="00105260">
        <w:rPr>
          <w:rFonts w:ascii="Palatino Linotype" w:hAnsi="Palatino Linotype"/>
          <w:i/>
          <w:sz w:val="22"/>
          <w:szCs w:val="22"/>
        </w:rPr>
        <w:t>(Énfasis añadido)</w:t>
      </w:r>
    </w:p>
    <w:p w:rsidR="00D93D90" w:rsidRDefault="00D93D90" w:rsidP="00A1466E">
      <w:pPr>
        <w:spacing w:line="360" w:lineRule="auto"/>
        <w:jc w:val="both"/>
        <w:rPr>
          <w:rFonts w:ascii="Palatino Linotype" w:hAnsi="Palatino Linotype"/>
          <w:color w:val="000000"/>
        </w:rPr>
      </w:pPr>
    </w:p>
    <w:p w:rsidR="00105260" w:rsidRDefault="00D93D90" w:rsidP="00A1466E">
      <w:pPr>
        <w:spacing w:line="360" w:lineRule="auto"/>
        <w:jc w:val="both"/>
        <w:rPr>
          <w:rFonts w:ascii="Palatino Linotype" w:hAnsi="Palatino Linotype"/>
          <w:color w:val="000000"/>
        </w:rPr>
      </w:pPr>
      <w:r>
        <w:rPr>
          <w:rFonts w:ascii="Palatino Linotype" w:hAnsi="Palatino Linotype"/>
          <w:color w:val="000000"/>
        </w:rPr>
        <w:t xml:space="preserve">Precisado lo anterior, se considera que lo procedente era que la Ponencia Resolutora determinara ordenar la entrega de la información en la modalidad elegida por el </w:t>
      </w:r>
      <w:r>
        <w:rPr>
          <w:rFonts w:ascii="Palatino Linotype" w:hAnsi="Palatino Linotype"/>
          <w:color w:val="000000"/>
        </w:rPr>
        <w:lastRenderedPageBreak/>
        <w:t xml:space="preserve">solicitante </w:t>
      </w:r>
      <w:r w:rsidR="00105260">
        <w:rPr>
          <w:rFonts w:ascii="Palatino Linotype" w:hAnsi="Palatino Linotype"/>
          <w:color w:val="000000"/>
        </w:rPr>
        <w:t xml:space="preserve">y SAIMEX, </w:t>
      </w:r>
      <w:r>
        <w:rPr>
          <w:rFonts w:ascii="Palatino Linotype" w:hAnsi="Palatino Linotype"/>
          <w:color w:val="000000"/>
        </w:rPr>
        <w:t xml:space="preserve">especificando que se haría sin costo alguno </w:t>
      </w:r>
      <w:r w:rsidR="00105260">
        <w:rPr>
          <w:rFonts w:ascii="Palatino Linotype" w:hAnsi="Palatino Linotype"/>
          <w:color w:val="000000"/>
        </w:rPr>
        <w:t>al actualizar el supuesto previsto en el último párrafo del artículo 165 citado.</w:t>
      </w:r>
    </w:p>
    <w:p w:rsidR="00D93D90" w:rsidRDefault="00D93D90" w:rsidP="00A1466E">
      <w:pPr>
        <w:spacing w:line="360" w:lineRule="auto"/>
        <w:jc w:val="both"/>
        <w:rPr>
          <w:rFonts w:ascii="Palatino Linotype" w:hAnsi="Palatino Linotype"/>
          <w:color w:val="000000"/>
        </w:rPr>
      </w:pPr>
    </w:p>
    <w:p w:rsidR="00105260" w:rsidRDefault="00A1466E" w:rsidP="00A1466E">
      <w:pPr>
        <w:spacing w:line="360" w:lineRule="auto"/>
        <w:jc w:val="both"/>
        <w:rPr>
          <w:rFonts w:ascii="Palatino Linotype" w:hAnsi="Palatino Linotype" w:cs="Arial"/>
        </w:rPr>
      </w:pPr>
      <w:r>
        <w:rPr>
          <w:rFonts w:ascii="Palatino Linotype" w:hAnsi="Palatino Linotype"/>
          <w:color w:val="000000"/>
        </w:rPr>
        <w:t>Precisado lo anterior, la</w:t>
      </w:r>
      <w:r w:rsidR="00440030">
        <w:rPr>
          <w:rFonts w:ascii="Palatino Linotype" w:hAnsi="Palatino Linotype"/>
          <w:color w:val="000000"/>
        </w:rPr>
        <w:t xml:space="preserve"> suscrita emite</w:t>
      </w:r>
      <w:r>
        <w:rPr>
          <w:rFonts w:ascii="Palatino Linotype" w:hAnsi="Palatino Linotype" w:cs="Arial"/>
        </w:rPr>
        <w:t xml:space="preserve"> </w:t>
      </w:r>
      <w:r w:rsidR="00440030">
        <w:rPr>
          <w:rFonts w:ascii="Palatino Linotype" w:hAnsi="Palatino Linotype" w:cs="Arial"/>
          <w:b/>
        </w:rPr>
        <w:t>VOTO</w:t>
      </w:r>
      <w:r w:rsidRPr="009A0480">
        <w:rPr>
          <w:rFonts w:ascii="Palatino Linotype" w:hAnsi="Palatino Linotype" w:cs="Arial"/>
          <w:b/>
        </w:rPr>
        <w:t xml:space="preserve"> PARTICULAR</w:t>
      </w:r>
      <w:r>
        <w:rPr>
          <w:rFonts w:ascii="Palatino Linotype" w:hAnsi="Palatino Linotype" w:cs="Arial"/>
          <w:b/>
        </w:rPr>
        <w:t xml:space="preserve"> </w:t>
      </w:r>
      <w:r w:rsidR="00440030">
        <w:rPr>
          <w:rFonts w:ascii="Palatino Linotype" w:hAnsi="Palatino Linotype" w:cs="Arial"/>
        </w:rPr>
        <w:t>a fin de precisar que si bien se comparte en esencia el sentido de la resolución, considero que lo procedente era determinar ordenar la entrega de la información en la modalidad elegida por el particular y precisar que la entrega de la inform</w:t>
      </w:r>
      <w:r w:rsidR="00105260">
        <w:rPr>
          <w:rFonts w:ascii="Palatino Linotype" w:hAnsi="Palatino Linotype" w:cs="Arial"/>
        </w:rPr>
        <w:t>ación se haría sin costo alguno.</w:t>
      </w:r>
    </w:p>
    <w:p w:rsidR="00A1466E" w:rsidRDefault="00A1466E" w:rsidP="00105260">
      <w:pPr>
        <w:spacing w:line="360" w:lineRule="auto"/>
        <w:jc w:val="center"/>
        <w:rPr>
          <w:rFonts w:ascii="Palatino Linotype" w:eastAsia="Arial Unicode MS" w:hAnsi="Palatino Linotype" w:cs="Arial"/>
        </w:rPr>
      </w:pPr>
    </w:p>
    <w:p w:rsidR="00A1466E" w:rsidRDefault="00A1466E" w:rsidP="00105260">
      <w:pPr>
        <w:spacing w:line="360" w:lineRule="auto"/>
        <w:jc w:val="center"/>
        <w:rPr>
          <w:rFonts w:ascii="Palatino Linotype" w:eastAsia="Arial Unicode MS" w:hAnsi="Palatino Linotype" w:cs="Arial"/>
        </w:rPr>
      </w:pPr>
    </w:p>
    <w:p w:rsidR="00A1466E" w:rsidRDefault="00A1466E" w:rsidP="00A1466E">
      <w:pPr>
        <w:spacing w:line="360" w:lineRule="auto"/>
        <w:jc w:val="center"/>
        <w:rPr>
          <w:rFonts w:ascii="Palatino Linotype" w:hAnsi="Palatino Linotype" w:cs="Arial"/>
          <w:b/>
        </w:rPr>
      </w:pPr>
    </w:p>
    <w:p w:rsidR="00105260" w:rsidRDefault="00105260" w:rsidP="00A1466E">
      <w:pPr>
        <w:spacing w:line="360" w:lineRule="auto"/>
        <w:jc w:val="center"/>
        <w:rPr>
          <w:rFonts w:ascii="Palatino Linotype" w:hAnsi="Palatino Linotype" w:cs="Arial"/>
          <w:b/>
        </w:rPr>
      </w:pPr>
    </w:p>
    <w:p w:rsidR="00A1466E" w:rsidRDefault="00A1466E" w:rsidP="00A1466E">
      <w:pPr>
        <w:spacing w:line="360" w:lineRule="auto"/>
        <w:jc w:val="center"/>
        <w:rPr>
          <w:rFonts w:ascii="Palatino Linotype" w:hAnsi="Palatino Linotype" w:cs="Arial"/>
          <w:b/>
        </w:rPr>
      </w:pPr>
    </w:p>
    <w:p w:rsidR="00CF76A6" w:rsidRDefault="00CF76A6" w:rsidP="00A1466E">
      <w:pPr>
        <w:spacing w:line="360" w:lineRule="auto"/>
        <w:jc w:val="center"/>
        <w:rPr>
          <w:rFonts w:ascii="Palatino Linotype" w:hAnsi="Palatino Linotype" w:cs="Arial"/>
          <w:b/>
        </w:rPr>
      </w:pPr>
    </w:p>
    <w:p w:rsidR="00CF76A6" w:rsidRDefault="00CF76A6" w:rsidP="00A1466E">
      <w:pPr>
        <w:spacing w:line="360" w:lineRule="auto"/>
        <w:jc w:val="center"/>
        <w:rPr>
          <w:rFonts w:ascii="Palatino Linotype" w:hAnsi="Palatino Linotype" w:cs="Arial"/>
          <w:b/>
        </w:rPr>
      </w:pPr>
    </w:p>
    <w:tbl>
      <w:tblPr>
        <w:tblW w:w="8716" w:type="dxa"/>
        <w:jc w:val="center"/>
        <w:tblLayout w:type="fixed"/>
        <w:tblLook w:val="04A0" w:firstRow="1" w:lastRow="0" w:firstColumn="1" w:lastColumn="0" w:noHBand="0" w:noVBand="1"/>
      </w:tblPr>
      <w:tblGrid>
        <w:gridCol w:w="8716"/>
      </w:tblGrid>
      <w:tr w:rsidR="00440030" w:rsidRPr="001B6F4B" w:rsidTr="0036594B">
        <w:trPr>
          <w:trHeight w:val="1297"/>
          <w:jc w:val="center"/>
        </w:trPr>
        <w:tc>
          <w:tcPr>
            <w:tcW w:w="8716" w:type="dxa"/>
          </w:tcPr>
          <w:p w:rsidR="00440030" w:rsidRDefault="00440030" w:rsidP="00F56169">
            <w:pPr>
              <w:jc w:val="center"/>
              <w:rPr>
                <w:rFonts w:ascii="Palatino Linotype" w:hAnsi="Palatino Linotype" w:cs="Arial"/>
                <w:b/>
              </w:rPr>
            </w:pPr>
            <w:bookmarkStart w:id="0" w:name="_GoBack"/>
            <w:bookmarkEnd w:id="0"/>
            <w:r w:rsidRPr="0061470D">
              <w:rPr>
                <w:rFonts w:ascii="Palatino Linotype" w:hAnsi="Palatino Linotype" w:cs="Arial"/>
                <w:b/>
              </w:rPr>
              <w:t>EVA ABAID YAPUR</w:t>
            </w:r>
          </w:p>
          <w:p w:rsidR="00440030" w:rsidRDefault="00440030" w:rsidP="00F56169">
            <w:pPr>
              <w:jc w:val="center"/>
              <w:rPr>
                <w:rFonts w:ascii="Palatino Linotype" w:hAnsi="Palatino Linotype" w:cs="Arial"/>
                <w:b/>
              </w:rPr>
            </w:pPr>
            <w:r w:rsidRPr="0061470D">
              <w:rPr>
                <w:rFonts w:ascii="Palatino Linotype" w:hAnsi="Palatino Linotype" w:cs="Arial"/>
                <w:b/>
              </w:rPr>
              <w:t>COMISIONADA</w:t>
            </w:r>
          </w:p>
          <w:p w:rsidR="00FA7225" w:rsidRDefault="00FA7225" w:rsidP="00F56169">
            <w:pPr>
              <w:jc w:val="center"/>
              <w:rPr>
                <w:rFonts w:ascii="Palatino Linotype" w:hAnsi="Palatino Linotype" w:cs="Arial"/>
                <w:b/>
              </w:rPr>
            </w:pPr>
            <w:r>
              <w:rPr>
                <w:rFonts w:ascii="Palatino Linotype" w:hAnsi="Palatino Linotype" w:cs="Arial"/>
                <w:b/>
              </w:rPr>
              <w:t>(RÚBRICA)</w:t>
            </w:r>
          </w:p>
          <w:p w:rsidR="00440030" w:rsidRPr="006546BA" w:rsidRDefault="00440030" w:rsidP="00F56169">
            <w:pPr>
              <w:jc w:val="center"/>
              <w:rPr>
                <w:rFonts w:ascii="Palatino Linotype" w:hAnsi="Palatino Linotype" w:cs="Arial"/>
                <w:b/>
              </w:rPr>
            </w:pPr>
          </w:p>
        </w:tc>
      </w:tr>
    </w:tbl>
    <w:p w:rsidR="00A1466E" w:rsidRDefault="00A1466E" w:rsidP="00A1466E">
      <w:pPr>
        <w:spacing w:line="360" w:lineRule="auto"/>
        <w:jc w:val="both"/>
        <w:rPr>
          <w:rFonts w:ascii="Palatino Linotype" w:eastAsia="Calibri" w:hAnsi="Palatino Linotype" w:cs="Arial"/>
          <w:color w:val="000000" w:themeColor="text1"/>
          <w:sz w:val="18"/>
          <w:szCs w:val="18"/>
        </w:rPr>
      </w:pPr>
    </w:p>
    <w:p w:rsidR="00A1466E" w:rsidRDefault="00A1466E" w:rsidP="00A1466E">
      <w:pPr>
        <w:spacing w:line="360" w:lineRule="auto"/>
        <w:jc w:val="both"/>
        <w:rPr>
          <w:rFonts w:ascii="Palatino Linotype" w:eastAsia="Calibri" w:hAnsi="Palatino Linotype" w:cs="Arial"/>
          <w:color w:val="000000" w:themeColor="text1"/>
          <w:sz w:val="18"/>
          <w:szCs w:val="18"/>
        </w:rPr>
      </w:pPr>
    </w:p>
    <w:p w:rsidR="00105260" w:rsidRDefault="00105260" w:rsidP="00A1466E">
      <w:pPr>
        <w:spacing w:line="360" w:lineRule="auto"/>
        <w:jc w:val="both"/>
        <w:rPr>
          <w:rFonts w:ascii="Palatino Linotype" w:eastAsia="Calibri" w:hAnsi="Palatino Linotype" w:cs="Arial"/>
          <w:color w:val="000000" w:themeColor="text1"/>
          <w:sz w:val="18"/>
          <w:szCs w:val="18"/>
        </w:rPr>
      </w:pPr>
    </w:p>
    <w:p w:rsidR="00105260" w:rsidRDefault="00105260" w:rsidP="00A1466E">
      <w:pPr>
        <w:spacing w:line="360" w:lineRule="auto"/>
        <w:jc w:val="both"/>
        <w:rPr>
          <w:rFonts w:ascii="Palatino Linotype" w:eastAsia="Calibri" w:hAnsi="Palatino Linotype" w:cs="Arial"/>
          <w:color w:val="000000" w:themeColor="text1"/>
          <w:sz w:val="18"/>
          <w:szCs w:val="18"/>
        </w:rPr>
      </w:pPr>
    </w:p>
    <w:p w:rsidR="00A1466E" w:rsidRDefault="00A1466E" w:rsidP="00A1466E">
      <w:pPr>
        <w:spacing w:line="360" w:lineRule="auto"/>
        <w:jc w:val="both"/>
        <w:rPr>
          <w:rFonts w:ascii="Palatino Linotype" w:eastAsia="Calibri" w:hAnsi="Palatino Linotype" w:cs="Arial"/>
          <w:color w:val="000000" w:themeColor="text1"/>
          <w:sz w:val="18"/>
          <w:szCs w:val="18"/>
        </w:rPr>
      </w:pPr>
    </w:p>
    <w:p w:rsidR="00A1466E" w:rsidRPr="00F82950" w:rsidRDefault="00A1466E" w:rsidP="00A1466E">
      <w:pPr>
        <w:jc w:val="both"/>
        <w:rPr>
          <w:rFonts w:ascii="Palatino Linotype" w:eastAsia="Calibri" w:hAnsi="Palatino Linotype" w:cs="Arial"/>
          <w:color w:val="000000" w:themeColor="text1"/>
          <w:sz w:val="18"/>
          <w:szCs w:val="18"/>
        </w:rPr>
      </w:pPr>
      <w:r w:rsidRPr="00F82950">
        <w:rPr>
          <w:rFonts w:ascii="Palatino Linotype" w:eastAsia="Calibri" w:hAnsi="Palatino Linotype" w:cs="Arial"/>
          <w:color w:val="000000" w:themeColor="text1"/>
          <w:sz w:val="18"/>
          <w:szCs w:val="18"/>
        </w:rPr>
        <w:t>Es</w:t>
      </w:r>
      <w:r w:rsidR="00440030">
        <w:rPr>
          <w:rFonts w:ascii="Palatino Linotype" w:eastAsia="Calibri" w:hAnsi="Palatino Linotype" w:cs="Arial"/>
          <w:color w:val="000000" w:themeColor="text1"/>
          <w:sz w:val="18"/>
          <w:szCs w:val="18"/>
        </w:rPr>
        <w:t>ta hoja corresponde a al voto</w:t>
      </w:r>
      <w:r w:rsidRPr="00F82950">
        <w:rPr>
          <w:rFonts w:ascii="Palatino Linotype" w:eastAsia="Calibri" w:hAnsi="Palatino Linotype" w:cs="Arial"/>
          <w:color w:val="000000" w:themeColor="text1"/>
          <w:sz w:val="18"/>
          <w:szCs w:val="18"/>
        </w:rPr>
        <w:t xml:space="preserve"> particular</w:t>
      </w:r>
      <w:r w:rsidR="00440030">
        <w:rPr>
          <w:rFonts w:ascii="Palatino Linotype" w:eastAsia="Calibri" w:hAnsi="Palatino Linotype" w:cs="Arial"/>
          <w:color w:val="000000" w:themeColor="text1"/>
          <w:sz w:val="18"/>
          <w:szCs w:val="18"/>
        </w:rPr>
        <w:t xml:space="preserve"> emitid</w:t>
      </w:r>
      <w:r w:rsidR="00105260">
        <w:rPr>
          <w:rFonts w:ascii="Palatino Linotype" w:eastAsia="Calibri" w:hAnsi="Palatino Linotype" w:cs="Arial"/>
          <w:color w:val="000000" w:themeColor="text1"/>
          <w:sz w:val="18"/>
          <w:szCs w:val="18"/>
        </w:rPr>
        <w:t>o</w:t>
      </w:r>
      <w:r>
        <w:rPr>
          <w:rFonts w:ascii="Palatino Linotype" w:eastAsia="Calibri" w:hAnsi="Palatino Linotype" w:cs="Arial"/>
          <w:color w:val="000000" w:themeColor="text1"/>
          <w:sz w:val="18"/>
          <w:szCs w:val="18"/>
        </w:rPr>
        <w:t xml:space="preserve"> en la resolución del</w:t>
      </w:r>
      <w:r w:rsidRPr="00F82950">
        <w:rPr>
          <w:rFonts w:ascii="Palatino Linotype" w:eastAsia="Calibri" w:hAnsi="Palatino Linotype" w:cs="Arial"/>
          <w:color w:val="000000" w:themeColor="text1"/>
          <w:sz w:val="18"/>
          <w:szCs w:val="18"/>
        </w:rPr>
        <w:t xml:space="preserve"> recurso de revisión </w:t>
      </w:r>
      <w:r w:rsidR="00440030">
        <w:rPr>
          <w:rFonts w:ascii="Palatino Linotype" w:eastAsia="Calibri" w:hAnsi="Palatino Linotype" w:cs="Arial"/>
          <w:color w:val="000000" w:themeColor="text1"/>
          <w:sz w:val="18"/>
          <w:szCs w:val="18"/>
        </w:rPr>
        <w:t>02300</w:t>
      </w:r>
      <w:r>
        <w:rPr>
          <w:rFonts w:ascii="Palatino Linotype" w:eastAsia="Calibri" w:hAnsi="Palatino Linotype" w:cs="Arial"/>
          <w:color w:val="000000" w:themeColor="text1"/>
          <w:sz w:val="18"/>
          <w:szCs w:val="18"/>
        </w:rPr>
        <w:t xml:space="preserve">/INFOEM/IP/RR/2018 </w:t>
      </w:r>
      <w:r w:rsidRPr="00F82950">
        <w:rPr>
          <w:rFonts w:ascii="Palatino Linotype" w:eastAsia="Calibri" w:hAnsi="Palatino Linotype" w:cs="Arial"/>
          <w:color w:val="000000" w:themeColor="text1"/>
          <w:sz w:val="18"/>
          <w:szCs w:val="18"/>
        </w:rPr>
        <w:t xml:space="preserve">aprobado el </w:t>
      </w:r>
      <w:r w:rsidR="00440030">
        <w:rPr>
          <w:rFonts w:ascii="Palatino Linotype" w:eastAsia="Calibri" w:hAnsi="Palatino Linotype" w:cs="Arial"/>
          <w:color w:val="000000" w:themeColor="text1"/>
          <w:sz w:val="18"/>
          <w:szCs w:val="18"/>
        </w:rPr>
        <w:t xml:space="preserve">veintidós de </w:t>
      </w:r>
      <w:r>
        <w:rPr>
          <w:rFonts w:ascii="Palatino Linotype" w:eastAsia="Calibri" w:hAnsi="Palatino Linotype" w:cs="Arial"/>
          <w:color w:val="000000" w:themeColor="text1"/>
          <w:sz w:val="18"/>
          <w:szCs w:val="18"/>
        </w:rPr>
        <w:t xml:space="preserve">agosto de </w:t>
      </w:r>
      <w:r w:rsidRPr="00F82950">
        <w:rPr>
          <w:rFonts w:ascii="Palatino Linotype" w:eastAsia="Calibri" w:hAnsi="Palatino Linotype" w:cs="Arial"/>
          <w:color w:val="000000" w:themeColor="text1"/>
          <w:sz w:val="18"/>
          <w:szCs w:val="18"/>
        </w:rPr>
        <w:t>dos mil dieci</w:t>
      </w:r>
      <w:r>
        <w:rPr>
          <w:rFonts w:ascii="Palatino Linotype" w:eastAsia="Calibri" w:hAnsi="Palatino Linotype" w:cs="Arial"/>
          <w:color w:val="000000" w:themeColor="text1"/>
          <w:sz w:val="18"/>
          <w:szCs w:val="18"/>
        </w:rPr>
        <w:t>ocho</w:t>
      </w:r>
      <w:r w:rsidRPr="00F82950">
        <w:rPr>
          <w:rFonts w:ascii="Palatino Linotype" w:eastAsia="Calibri" w:hAnsi="Palatino Linotype" w:cs="Arial"/>
          <w:color w:val="000000" w:themeColor="text1"/>
          <w:sz w:val="18"/>
          <w:szCs w:val="18"/>
        </w:rPr>
        <w:t>.</w:t>
      </w:r>
    </w:p>
    <w:p w:rsidR="00A1466E" w:rsidRPr="00CF76A6" w:rsidRDefault="00A1466E" w:rsidP="00A1466E">
      <w:pPr>
        <w:jc w:val="both"/>
        <w:rPr>
          <w:rFonts w:ascii="Palatino Linotype" w:eastAsia="Calibri" w:hAnsi="Palatino Linotype" w:cs="Arial"/>
          <w:color w:val="000000" w:themeColor="text1"/>
          <w:sz w:val="10"/>
          <w:szCs w:val="18"/>
        </w:rPr>
      </w:pPr>
    </w:p>
    <w:p w:rsidR="00A1466E" w:rsidRDefault="00440030" w:rsidP="00A1466E">
      <w:pPr>
        <w:jc w:val="both"/>
      </w:pPr>
      <w:r>
        <w:rPr>
          <w:rFonts w:ascii="Palatino Linotype" w:eastAsia="Calibri" w:hAnsi="Palatino Linotype" w:cs="Arial"/>
          <w:color w:val="000000" w:themeColor="text1"/>
          <w:sz w:val="18"/>
          <w:szCs w:val="18"/>
        </w:rPr>
        <w:t>YSM</w:t>
      </w:r>
      <w:r w:rsidR="00A1466E">
        <w:rPr>
          <w:rFonts w:ascii="Palatino Linotype" w:eastAsia="Calibri" w:hAnsi="Palatino Linotype" w:cs="Arial"/>
          <w:color w:val="000000" w:themeColor="text1"/>
          <w:sz w:val="18"/>
          <w:szCs w:val="18"/>
        </w:rPr>
        <w:t>/AMV</w:t>
      </w:r>
    </w:p>
    <w:sectPr w:rsidR="00A1466E" w:rsidSect="00E91F3F">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C4B" w:rsidRDefault="002E0C4B" w:rsidP="00A1466E">
      <w:r>
        <w:separator/>
      </w:r>
    </w:p>
  </w:endnote>
  <w:endnote w:type="continuationSeparator" w:id="0">
    <w:p w:rsidR="002E0C4B" w:rsidRDefault="002E0C4B" w:rsidP="00A1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F3F" w:rsidRDefault="002E0C4B" w:rsidP="00E91F3F">
    <w:pPr>
      <w:pStyle w:val="Piedepgina"/>
      <w:tabs>
        <w:tab w:val="clear" w:pos="4252"/>
        <w:tab w:val="left" w:pos="4228"/>
      </w:tabs>
      <w:rPr>
        <w:rFonts w:ascii="Palatino Linotype" w:hAnsi="Palatino Linotype" w:cs="Arial"/>
        <w:b/>
        <w:bCs/>
        <w:sz w:val="20"/>
        <w:szCs w:val="20"/>
      </w:rPr>
    </w:pPr>
  </w:p>
  <w:p w:rsidR="00E91F3F" w:rsidRDefault="002E0C4B" w:rsidP="00E91F3F">
    <w:pPr>
      <w:pStyle w:val="Piedepgina"/>
      <w:tabs>
        <w:tab w:val="clear" w:pos="4252"/>
        <w:tab w:val="left" w:pos="4228"/>
      </w:tabs>
      <w:rPr>
        <w:rFonts w:ascii="Palatino Linotype" w:hAnsi="Palatino Linotype" w:cs="Arial"/>
        <w:b/>
        <w:bCs/>
        <w:sz w:val="20"/>
        <w:szCs w:val="20"/>
      </w:rPr>
    </w:pPr>
  </w:p>
  <w:p w:rsidR="00E91F3F" w:rsidRDefault="002E0C4B" w:rsidP="00E91F3F">
    <w:pPr>
      <w:pStyle w:val="Piedepgina"/>
      <w:tabs>
        <w:tab w:val="clear" w:pos="4252"/>
        <w:tab w:val="left" w:pos="4228"/>
      </w:tabs>
      <w:rPr>
        <w:rFonts w:ascii="Palatino Linotype" w:hAnsi="Palatino Linotype" w:cs="Arial"/>
        <w:b/>
        <w:bCs/>
        <w:sz w:val="20"/>
        <w:szCs w:val="20"/>
      </w:rPr>
    </w:pPr>
  </w:p>
  <w:p w:rsidR="00E91F3F" w:rsidRDefault="002E0C4B" w:rsidP="00E91F3F">
    <w:pPr>
      <w:pStyle w:val="Piedepgina"/>
      <w:rPr>
        <w:rFonts w:ascii="Palatino Linotype" w:hAnsi="Palatino Linotype" w:cs="Arial"/>
        <w:b/>
        <w:bCs/>
        <w:sz w:val="20"/>
        <w:szCs w:val="20"/>
      </w:rPr>
    </w:pPr>
  </w:p>
  <w:p w:rsidR="00E91F3F" w:rsidRPr="00F12350" w:rsidRDefault="0045411B" w:rsidP="00E91F3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A7225">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A7225">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E91F3F" w:rsidRDefault="002E0C4B" w:rsidP="00E91F3F">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C4B" w:rsidRDefault="002E0C4B" w:rsidP="00A1466E">
      <w:r>
        <w:separator/>
      </w:r>
    </w:p>
  </w:footnote>
  <w:footnote w:type="continuationSeparator" w:id="0">
    <w:p w:rsidR="002E0C4B" w:rsidRDefault="002E0C4B" w:rsidP="00A14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F3F" w:rsidRDefault="002E0C4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50" type="#_x0000_t136" style="position:absolute;margin-left:0;margin-top:0;width:627.55pt;height:75.3pt;rotation:315;z-index:-251659264;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F3F" w:rsidRDefault="0045411B" w:rsidP="00E91F3F">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57E85F65" wp14:editId="08A095DD">
          <wp:simplePos x="0" y="0"/>
          <wp:positionH relativeFrom="margin">
            <wp:posOffset>-710202</wp:posOffset>
          </wp:positionH>
          <wp:positionV relativeFrom="paragraph">
            <wp:posOffset>-375813</wp:posOffset>
          </wp:positionV>
          <wp:extent cx="7604125" cy="9903460"/>
          <wp:effectExtent l="0" t="0" r="0" b="254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E91F3F" w:rsidRDefault="002E0C4B" w:rsidP="00E91F3F">
    <w:pPr>
      <w:pStyle w:val="Encabezado"/>
      <w:tabs>
        <w:tab w:val="clear" w:pos="4252"/>
        <w:tab w:val="clear" w:pos="8504"/>
        <w:tab w:val="left" w:pos="2326"/>
      </w:tabs>
      <w:jc w:val="right"/>
      <w:rPr>
        <w:rFonts w:ascii="Palatino Linotype" w:hAnsi="Palatino Linotype" w:cs="Arial"/>
        <w:sz w:val="20"/>
        <w:szCs w:val="20"/>
      </w:rPr>
    </w:pPr>
  </w:p>
  <w:p w:rsidR="00BC4467" w:rsidRDefault="002E0C4B" w:rsidP="00E91F3F">
    <w:pPr>
      <w:pStyle w:val="Encabezado"/>
      <w:tabs>
        <w:tab w:val="clear" w:pos="4252"/>
        <w:tab w:val="clear" w:pos="8504"/>
        <w:tab w:val="left" w:pos="2326"/>
      </w:tabs>
      <w:jc w:val="right"/>
      <w:rPr>
        <w:rFonts w:ascii="Palatino Linotype" w:hAnsi="Palatino Linotype" w:cs="Arial"/>
        <w:sz w:val="20"/>
        <w:szCs w:val="20"/>
      </w:rPr>
    </w:pPr>
  </w:p>
  <w:p w:rsidR="00A1466E" w:rsidRDefault="00440030" w:rsidP="00BC4467">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VOTO</w:t>
    </w:r>
    <w:r w:rsidR="0045411B" w:rsidRPr="006F01F2">
      <w:rPr>
        <w:rFonts w:ascii="Palatino Linotype" w:hAnsi="Palatino Linotype" w:cs="Arial"/>
        <w:sz w:val="20"/>
        <w:szCs w:val="20"/>
      </w:rPr>
      <w:t xml:space="preserve"> PARTICULAR</w:t>
    </w:r>
  </w:p>
  <w:p w:rsidR="00E91F3F" w:rsidRDefault="0045411B" w:rsidP="00BC4467">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F85381">
      <w:rPr>
        <w:rFonts w:ascii="Palatino Linotype" w:hAnsi="Palatino Linotype" w:cs="Arial"/>
        <w:sz w:val="20"/>
        <w:szCs w:val="20"/>
      </w:rPr>
      <w:t>0</w:t>
    </w:r>
    <w:r w:rsidR="00A1466E">
      <w:rPr>
        <w:rFonts w:ascii="Palatino Linotype" w:hAnsi="Palatino Linotype" w:cs="Arial"/>
        <w:sz w:val="20"/>
        <w:szCs w:val="20"/>
      </w:rPr>
      <w:t>2300</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E91F3F" w:rsidRDefault="002E0C4B" w:rsidP="00E91F3F">
    <w:pPr>
      <w:pStyle w:val="Encabezado"/>
      <w:tabs>
        <w:tab w:val="clear" w:pos="4252"/>
        <w:tab w:val="clear" w:pos="8504"/>
        <w:tab w:val="left" w:pos="2326"/>
      </w:tabs>
      <w:ind w:right="-93"/>
      <w:jc w:val="right"/>
      <w:rPr>
        <w:rFonts w:ascii="Palatino Linotype" w:hAnsi="Palatino Linotype" w:cs="Arial"/>
        <w:sz w:val="20"/>
        <w:szCs w:val="20"/>
      </w:rPr>
    </w:pPr>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left:0;text-align:left;margin-left:0;margin-top:0;width:615.95pt;height:68.65pt;rotation:315;z-index:251658240;mso-position-horizontal:center;mso-position-horizontal-relative:margin;mso-position-vertical:center;mso-position-vertical-relative:margin" o:allowincell="f" fillcolor="#bfbfbf [2412]" stroked="f" strokecolor="#cfcdcd [2894]">
          <v:fill opacity=".5"/>
          <v:textpath style="font-family:&quot;Palatino Linotype&quot;;font-size:1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F3F" w:rsidRDefault="002E0C4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49" type="#_x0000_t136" style="position:absolute;margin-left:0;margin-top:0;width:627.55pt;height:75.3pt;rotation:315;z-index:-251657216;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4888"/>
    <w:multiLevelType w:val="hybridMultilevel"/>
    <w:tmpl w:val="7CB4852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6E781F"/>
    <w:multiLevelType w:val="hybridMultilevel"/>
    <w:tmpl w:val="26F00E7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34317490"/>
    <w:multiLevelType w:val="hybridMultilevel"/>
    <w:tmpl w:val="6E4243A6"/>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CCBE384C">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60E736C"/>
    <w:multiLevelType w:val="hybridMultilevel"/>
    <w:tmpl w:val="29AE7A66"/>
    <w:lvl w:ilvl="0" w:tplc="68C01490">
      <w:start w:val="1"/>
      <w:numFmt w:val="decimal"/>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66E"/>
    <w:rsid w:val="00105260"/>
    <w:rsid w:val="002520D9"/>
    <w:rsid w:val="002D6DA9"/>
    <w:rsid w:val="002E0C4B"/>
    <w:rsid w:val="00440030"/>
    <w:rsid w:val="0045411B"/>
    <w:rsid w:val="00567E5D"/>
    <w:rsid w:val="006D208F"/>
    <w:rsid w:val="00803EA1"/>
    <w:rsid w:val="00A1466E"/>
    <w:rsid w:val="00C23B43"/>
    <w:rsid w:val="00C9714C"/>
    <w:rsid w:val="00CF76A6"/>
    <w:rsid w:val="00D93D90"/>
    <w:rsid w:val="00E05D93"/>
    <w:rsid w:val="00E8520A"/>
    <w:rsid w:val="00F525C9"/>
    <w:rsid w:val="00F70C1B"/>
    <w:rsid w:val="00FA7225"/>
    <w:rsid w:val="00FF6F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A2BF958-BEB2-45EC-895A-20621443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66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466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1466E"/>
    <w:rPr>
      <w:rFonts w:eastAsiaTheme="minorEastAsia"/>
      <w:sz w:val="24"/>
      <w:szCs w:val="24"/>
      <w:lang w:val="es-ES_tradnl" w:eastAsia="es-ES"/>
    </w:rPr>
  </w:style>
  <w:style w:type="paragraph" w:styleId="Piedepgina">
    <w:name w:val="footer"/>
    <w:basedOn w:val="Normal"/>
    <w:link w:val="PiedepginaCar"/>
    <w:uiPriority w:val="99"/>
    <w:unhideWhenUsed/>
    <w:rsid w:val="00A1466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1466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1466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1466E"/>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03EA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03EA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520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20D9"/>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6</Pages>
  <Words>1234</Words>
  <Characters>6788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cp:lastPrinted>2018-08-27T15:31:00Z</cp:lastPrinted>
  <dcterms:created xsi:type="dcterms:W3CDTF">2018-08-24T18:43:00Z</dcterms:created>
  <dcterms:modified xsi:type="dcterms:W3CDTF">2018-10-11T01:41:00Z</dcterms:modified>
</cp:coreProperties>
</file>